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403-6k_ccsctech.htm"/>
      <w:bookmarkStart w:id="1" w:name="ksea03044036k_ccsc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001-41919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1301-03, 13/f Shatin Galleria, 18-24 Shan Mei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Fotan, Shatin,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CCSC Technology International Holdings Limited’s 2026 Annual General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of Shareholders and Special Meeting of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annual general meeting of shareholders (the “</w:t>
      </w: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of CCSC Technology International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held at 1301-03, 13/F, Shatin Galleria, 18-24 Shan Mei Street, Fotan, Hong Kong, on September 1, 2026 at 6:00 a.m. EDT, with the ability given to the shareholders to join virtually via live audio webcast at www.virtualshareholdermeeting.com/CCTG2026.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August 5, 2026, the record date for determining the holders of the Company’s Class A ordinary shares, par value US$0.005 each (with each share entitled to one vote), and Class B ordinary shares, par value US$0.005 each (with each share entitled to 50 votes) (collectively,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entitled to vote at the General Meeting, there were a total of 13,580,186 issued and outstanding Ordinary Shares. The holders of 9,888,980 Ordinary Shares, representing 34,388,980 votes of the Company were represented in person or by proxy at the General Meeting, constituting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General Meeting, the shareholders of the Company adopted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to approve the re-election of the Company’s existing directors and independent directors (“</w:t>
            </w:r>
            <w:r>
              <w:rPr>
                <w:rFonts w:ascii="Times New Roman;Times;Serif" w:hAnsi="Times New Roman;Times;Serif"/>
                <w:b/>
                <w:sz w:val="20"/>
              </w:rPr>
              <w:t>Proposal One</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30"/>
        <w:gridCol w:w="86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Chi Sing Chiu, Kung Lok Chiu and Sin Ting Chiu be re-elected as a director of the Company;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Wai Chun Tsang, Tsz Fai Shiu, Kenneth Wang and Pak Keung Chan be re-elected as an independent director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75"/>
        <w:gridCol w:w="170"/>
        <w:gridCol w:w="8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to approve the increase of the Company’s authorized share capital (“</w:t>
            </w:r>
            <w:r>
              <w:rPr>
                <w:rFonts w:ascii="Times New Roman;Times;Serif" w:hAnsi="Times New Roman;Times;Serif"/>
                <w:b/>
                <w:sz w:val="20"/>
              </w:rPr>
              <w:t>Proposal Two</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be increased from US$250,000 divided into 49,500,000 Class A ordinary shares of a par value of US$0.005 each and 500,000 Class B ordinary shares of a par value of US$0.005 each to US$5,000,000 divided into 990,000,000 Class A ordinary shares of a par value of US$0.005 each and 10,000,000 Class B ordinary shares of a par value of US$0.005 each, by the creation of 940,500,000 new Class A ordinary shares of a par value of US$0.005 each and 9,500,000 new Class B ordinary shares of a par value of US$0.005 each, each with the same rights and restrictions as the existing Class A ordinary shares and Class B ordinary shares of the Company, respectively.</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to approve the share consolidation (“</w:t>
            </w:r>
            <w:r>
              <w:rPr>
                <w:rFonts w:ascii="Times New Roman;Times;Serif" w:hAnsi="Times New Roman;Times;Serif"/>
                <w:b/>
                <w:sz w:val="20"/>
              </w:rPr>
              <w:t>Proposal Three</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one year from the date of the General Meeting, on the date when the closing market price per Class A ordinary share of a par value of US$0.005 each is less than US$1.00, or on such later date as the directors deem advisable and may determine in their absolute discretion, every 20 issued and unissued Class A ordinary shares of a par value of US$0.005 each and every 20 issued and unissued Class B ordinary shares of a par value of US$0.005 each be consolidated into one Class A ordinary share of a par value of US$0.10 each and one Class B ordinary share of a par value of US$0.10 each, respectively (the “</w:t>
            </w:r>
            <w:r>
              <w:rPr>
                <w:rFonts w:ascii="Times New Roman;Times;Serif" w:hAnsi="Times New Roman;Times;Serif"/>
                <w:b/>
                <w:sz w:val="20"/>
              </w:rPr>
              <w:t>Share Consolidation</w:t>
            </w:r>
            <w:r>
              <w:rPr>
                <w:rFonts w:ascii="Times New Roman;Times;Serif" w:hAnsi="Times New Roman;Times;Serif"/>
                <w:sz w:val="20"/>
              </w:rPr>
              <w:t>”), such that following the Share Consolidation, the authorized share capital of the Company will be US$5,000,000 divided into 5,000,000 shares of a par value of US$0.10 each, comprising 49,500,000 Class A ordinary shares of a par value of US$0.10 each and 500,000 Class B ordinary shares of a par value of US$0.10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to approve the acquisition of assets in one or more transactions, on terms and conditions to be determined by the board of directors of the Company, provided the aggregate consideration therefor does not exceed $50 million (“</w:t>
            </w:r>
            <w:r>
              <w:rPr>
                <w:rFonts w:ascii="Times New Roman;Times;Serif" w:hAnsi="Times New Roman;Times;Serif"/>
                <w:b/>
                <w:sz w:val="20"/>
              </w:rPr>
              <w:t>Proposal Four</w:t>
            </w:r>
            <w:r>
              <w:rPr>
                <w:rFonts w:ascii="Times New Roman;Times;Serif" w:hAnsi="Times New Roman;Times;Serif"/>
                <w:sz w:val="20"/>
              </w:rPr>
              <w:t xml:space="preserve">”);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special resolution to approve the amendments to the Company’s memorandum and articles of association currently in effect (the “</w:t>
            </w:r>
            <w:r>
              <w:rPr>
                <w:rFonts w:ascii="Times New Roman;Times;Serif" w:hAnsi="Times New Roman;Times;Serif"/>
                <w:b/>
                <w:sz w:val="20"/>
              </w:rPr>
              <w:t>Existing M&amp;A</w:t>
            </w:r>
            <w:r>
              <w:rPr>
                <w:rFonts w:ascii="Times New Roman;Times;Serif" w:hAnsi="Times New Roman;Times;Serif"/>
                <w:sz w:val="20"/>
              </w:rPr>
              <w:t>”) (“</w:t>
            </w:r>
            <w:r>
              <w:rPr>
                <w:rFonts w:ascii="Times New Roman;Times;Serif" w:hAnsi="Times New Roman;Times;Serif"/>
                <w:b/>
                <w:sz w:val="20"/>
              </w:rPr>
              <w:t>Proposal Five</w:t>
            </w:r>
            <w:r>
              <w:rPr>
                <w:rFonts w:ascii="Times New Roman;Times;Serif" w:hAnsi="Times New Roman;Times;Serif"/>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and conditional upon the sanction of a special resolution passed at a separate meeting of the holders of Class A ordinary shares of the Company, Article 4.1 of the Existing M&amp;A of the Company be amended to provide that each Class B ordinary share shall entitle the holder thereof to one hundred and fifty (150) votes on all matters subject to vote at general meetings of the Company;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third amended and restated memorandum and articles of association of the Company in the form presented to the General Meeting (the “</w:t>
            </w:r>
            <w:r>
              <w:rPr>
                <w:rFonts w:ascii="Times New Roman;Times;Serif" w:hAnsi="Times New Roman;Times;Serif"/>
                <w:b/>
                <w:sz w:val="20"/>
              </w:rPr>
              <w:t>Third Amended and Restated M&amp;A</w:t>
            </w:r>
            <w:r>
              <w:rPr>
                <w:rFonts w:ascii="Times New Roman;Times;Serif" w:hAnsi="Times New Roman;Times;Serif"/>
                <w:sz w:val="20"/>
              </w:rPr>
              <w:t>”) be adopted as the memorandum and articles of association of the Company by the deletion of the Existing M&amp;A in its entirety and the substitution in its place of the Third Amended and Restated M&amp;A.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approval of Proposal Five, an ordinary resolution to approve the convening of a separate meeting of the holders of Class A ordinary shares, for the purpose of considering and, if thought fit, sanctioning by special resolution the amendment to Article 4.1 of the Existing M&amp;A of the Company (“</w:t>
            </w:r>
            <w:r>
              <w:rPr>
                <w:rFonts w:ascii="Times New Roman;Times;Serif" w:hAnsi="Times New Roman;Times;Serif"/>
                <w:b/>
                <w:sz w:val="20"/>
              </w:rPr>
              <w:t>Proposal Six</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vote at the General Meeting for the resolutions were as follows:</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475"/>
        <w:gridCol w:w="60"/>
        <w:gridCol w:w="60"/>
        <w:gridCol w:w="980"/>
        <w:gridCol w:w="60"/>
        <w:gridCol w:w="60"/>
        <w:gridCol w:w="64"/>
        <w:gridCol w:w="736"/>
        <w:gridCol w:w="60"/>
        <w:gridCol w:w="60"/>
        <w:gridCol w:w="78"/>
        <w:gridCol w:w="737"/>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Abstain</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Proposal One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9,849,623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2,457</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Proposal Two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9,853,278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35,701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Proposal Three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9,849,706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39,274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Proposal Four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9,851,397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37,560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23</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Proposal Five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9,847,546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38,976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2,458</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Proposal Six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9,851,398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37,511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of the holders of Class A ordinary shares of par value US$0.005 each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of the Company was held at 1301-03, 13/F, Shatin Galleria, 18-24 Shan Mei Street, Fotan, Hong Kong, on September 1, 2026, immediately following the conclusion of the General Meeting, with the ability given to the shareholders to join virtually via live audio webcast at www.virtualshareholdermeeting.com/CCTG2026SM.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August 5, 2026, the record date for determining the holders of the Company’s Class A ordinary shares, par value US$0.005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with each share entitled to one vote, there were a total of 13,080,186 issued and outstanding Class A Ordinary Shares. At the Special Meeting, the holders of 9,100,509 Class A Ordinary Shares, representing 9,100,509 votes of the Company were represented in person or by proxy, constituting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the Class A shareholders of the Company adopted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special resolution to approve the amendment to Article 4.1 of the memorandum and articles of association of the Company currently in effect, such that each Class B ordinary share of par value US$0.005 each shall entitle the holder thereof to one hundred and fifty (150) votes on all matters subject to vote at general meetings of the Company (“</w:t>
            </w:r>
            <w:r>
              <w:rPr>
                <w:rFonts w:ascii="Times New Roman;Times;Serif" w:hAnsi="Times New Roman;Times;Serif"/>
                <w:b/>
                <w:sz w:val="20"/>
              </w:rPr>
              <w:t>Proposal One</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vote at the Special Meeting for the resolutions were as follows:</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325"/>
        <w:gridCol w:w="60"/>
        <w:gridCol w:w="60"/>
        <w:gridCol w:w="980"/>
        <w:gridCol w:w="60"/>
        <w:gridCol w:w="60"/>
        <w:gridCol w:w="64"/>
        <w:gridCol w:w="736"/>
        <w:gridCol w:w="60"/>
        <w:gridCol w:w="60"/>
        <w:gridCol w:w="244"/>
        <w:gridCol w:w="571"/>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Abstain</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Proposal One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9,065,537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34,972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 2026</w:t>
      </w:r>
    </w:p>
    <w:p>
      <w:pPr>
        <w:pStyle w:val="TextBody"/>
        <w:bidi w:val="0"/>
        <w:spacing w:before="0" w:after="0"/>
        <w:ind w:left="0" w:right="0" w:hanging="0"/>
        <w:jc w:val="both"/>
        <w:rPr>
          <w:caps w:val="false"/>
          <w:smallCaps w:val="false"/>
        </w:rPr>
      </w:pPr>
      <w:r>
        <w:rPr>
          <w:caps w:val="false"/>
          <w:smallCaps w:val="false"/>
        </w:rPr>
        <w:t>  </w:t>
      </w:r>
    </w:p>
    <w:tbl>
      <w:tblPr>
        <w:tblW w:w="5764" w:type="dxa"/>
        <w:jc w:val="left"/>
        <w:tblInd w:w="0" w:type="dxa"/>
        <w:tblLayout w:type="fixed"/>
        <w:tblCellMar>
          <w:top w:w="0" w:type="dxa"/>
          <w:left w:w="0" w:type="dxa"/>
          <w:bottom w:w="0" w:type="dxa"/>
          <w:right w:w="0" w:type="dxa"/>
        </w:tblCellMar>
      </w:tblPr>
      <w:tblGrid>
        <w:gridCol w:w="75"/>
        <w:gridCol w:w="1319"/>
        <w:gridCol w:w="4370"/>
      </w:tblGrid>
      <w:tr>
        <w:trPr/>
        <w:tc>
          <w:tcPr>
            <w:tcW w:w="75" w:type="dxa"/>
            <w:tcBorders/>
            <w:vAlign w:val="center"/>
          </w:tcPr>
          <w:p>
            <w:pPr>
              <w:pStyle w:val="TableContents"/>
              <w:bidi w:val="0"/>
              <w:spacing w:before="0" w:after="283"/>
              <w:jc w:val="both"/>
              <w:rPr/>
            </w:pPr>
            <w:r>
              <w:rPr/>
              <w:t> </w:t>
            </w:r>
          </w:p>
        </w:tc>
        <w:tc>
          <w:tcPr>
            <w:tcW w:w="56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CCSC TECHNOLOGY INTERNATIONAL HOLDINGS LIMITED</w:t>
            </w:r>
          </w:p>
        </w:tc>
      </w:tr>
      <w:tr>
        <w:trPr/>
        <w:tc>
          <w:tcPr>
            <w:tcW w:w="75" w:type="dxa"/>
            <w:tcBorders/>
            <w:vAlign w:val="center"/>
          </w:tcPr>
          <w:p>
            <w:pPr>
              <w:pStyle w:val="TableContents"/>
              <w:bidi w:val="0"/>
              <w:spacing w:before="0" w:after="283"/>
              <w:jc w:val="both"/>
              <w:rPr/>
            </w:pPr>
            <w:r>
              <w:rPr/>
              <w:t> </w:t>
            </w:r>
          </w:p>
        </w:tc>
        <w:tc>
          <w:tcPr>
            <w:tcW w:w="1319" w:type="dxa"/>
            <w:tcBorders/>
            <w:vAlign w:val="center"/>
          </w:tcPr>
          <w:p>
            <w:pPr>
              <w:pStyle w:val="TableContents"/>
              <w:bidi w:val="0"/>
              <w:spacing w:before="0" w:after="283"/>
              <w:jc w:val="both"/>
              <w:rPr/>
            </w:pPr>
            <w:r>
              <w:rPr/>
              <w:t> </w:t>
            </w:r>
          </w:p>
        </w:tc>
        <w:tc>
          <w:tcPr>
            <w:tcW w:w="43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7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Kung Lok Chiu</w:t>
            </w:r>
          </w:p>
        </w:tc>
      </w:tr>
      <w:tr>
        <w:trPr/>
        <w:tc>
          <w:tcPr>
            <w:tcW w:w="75" w:type="dxa"/>
            <w:tcBorders/>
            <w:vAlign w:val="center"/>
          </w:tcPr>
          <w:p>
            <w:pPr>
              <w:pStyle w:val="TableContents"/>
              <w:bidi w:val="0"/>
              <w:spacing w:before="0" w:after="283"/>
              <w:jc w:val="both"/>
              <w:rPr/>
            </w:pPr>
            <w:r>
              <w:rPr/>
              <w:t> </w:t>
            </w:r>
          </w:p>
        </w:tc>
        <w:tc>
          <w:tcPr>
            <w:tcW w:w="1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Kung Lok Chiu</w:t>
            </w:r>
          </w:p>
        </w:tc>
      </w:tr>
      <w:tr>
        <w:trPr/>
        <w:tc>
          <w:tcPr>
            <w:tcW w:w="75" w:type="dxa"/>
            <w:tcBorders/>
            <w:vAlign w:val="center"/>
          </w:tcPr>
          <w:p>
            <w:pPr>
              <w:pStyle w:val="TableContents"/>
              <w:bidi w:val="0"/>
              <w:spacing w:before="0" w:after="283"/>
              <w:jc w:val="both"/>
              <w:rPr/>
            </w:pPr>
            <w:r>
              <w:rPr/>
              <w:t> </w:t>
            </w:r>
          </w:p>
        </w:tc>
        <w:tc>
          <w:tcPr>
            <w:tcW w:w="1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1264</Words>
  <Characters>6483</Characters>
  <CharactersWithSpaces>7802</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