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97385-20f_ccsctech.htm"/>
      <w:bookmarkStart w:id="1" w:name="ksea029738520f_ccsctech"/>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March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001-41919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1301-03, 13/f Shatin Galleria, 18-24 Shan Mei St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Fotan, Shatin, Hong Kong</w:t>
        <w:br/>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 Hui Law, Chief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00852-26870272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chlaw@ccsc-interconnect.com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address of the Company set forth above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55" w:type="dxa"/>
        <w:jc w:val="left"/>
        <w:tblInd w:w="0" w:type="dxa"/>
        <w:tblLayout w:type="fixed"/>
        <w:tblCellMar>
          <w:top w:w="0" w:type="dxa"/>
          <w:left w:w="0" w:type="dxa"/>
          <w:bottom w:w="28" w:type="dxa"/>
          <w:right w:w="0" w:type="dxa"/>
        </w:tblCellMar>
      </w:tblPr>
      <w:tblGrid>
        <w:gridCol w:w="2165"/>
        <w:gridCol w:w="90"/>
        <w:gridCol w:w="1640"/>
        <w:gridCol w:w="90"/>
        <w:gridCol w:w="3770"/>
      </w:tblGrid>
      <w:tr>
        <w:trPr/>
        <w:tc>
          <w:tcPr>
            <w:tcW w:w="216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165" w:type="dxa"/>
            <w:tcBorders/>
            <w:shd w:fill="CCEEFF" w:val="clear"/>
            <w:tcMar>
              <w:bottom w:w="0" w:type="dxa"/>
            </w:tcMar>
            <w:vAlign w:val="center"/>
          </w:tcPr>
          <w:p>
            <w:pPr>
              <w:pStyle w:val="TableContents"/>
              <w:bidi w:val="0"/>
              <w:spacing w:before="0" w:after="283"/>
              <w:jc w:val="center"/>
              <w:rPr>
                <w:b/>
                <w:sz w:val="20"/>
              </w:rPr>
            </w:pPr>
            <w:r>
              <w:rPr>
                <w:b/>
                <w:sz w:val="20"/>
              </w:rPr>
              <w:t>Class A Ordinary Shares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40" w:type="dxa"/>
            <w:tcBorders/>
            <w:shd w:fill="CCEEFF" w:val="clear"/>
            <w:tcMar>
              <w:bottom w:w="0" w:type="dxa"/>
            </w:tcMar>
            <w:vAlign w:val="center"/>
          </w:tcPr>
          <w:p>
            <w:pPr>
              <w:pStyle w:val="TableContents"/>
              <w:bidi w:val="0"/>
              <w:spacing w:before="0" w:after="283"/>
              <w:jc w:val="center"/>
              <w:rPr>
                <w:b/>
                <w:sz w:val="20"/>
              </w:rPr>
            </w:pPr>
            <w:r>
              <w:rPr>
                <w:b/>
                <w:sz w:val="20"/>
              </w:rPr>
              <w:t>CCTG</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770" w:type="dxa"/>
            <w:tcBorders/>
            <w:shd w:fill="CCEEFF" w:val="clear"/>
            <w:tcMar>
              <w:bottom w:w="0" w:type="dxa"/>
            </w:tcMar>
            <w:vAlign w:val="center"/>
          </w:tcPr>
          <w:p>
            <w:pPr>
              <w:pStyle w:val="TableContents"/>
              <w:bidi w:val="0"/>
              <w:spacing w:before="0" w:after="283"/>
              <w:jc w:val="center"/>
              <w:rPr>
                <w:b/>
                <w:sz w:val="20"/>
              </w:rPr>
            </w:pPr>
            <w:r>
              <w:rPr>
                <w:b/>
                <w:sz w:val="20"/>
              </w:rPr>
              <w:t>The 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3,413,520 Class A Ordinary Shares and 500,000 Class B Ordinary Shares, par value $0.005 per share, were outstanding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sz w:val="20"/>
              </w:rPr>
            </w:pPr>
            <w:r>
              <w:rPr>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sz w:val="20"/>
              </w:rPr>
            </w:pPr>
            <w:r>
              <w:rPr>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1175"/>
        <w:gridCol w:w="4940"/>
        <w:gridCol w:w="770"/>
      </w:tblGrid>
      <w:tr>
        <w:trPr/>
        <w:tc>
          <w:tcPr>
            <w:tcW w:w="1175" w:type="dxa"/>
            <w:tcBorders/>
            <w:vAlign w:val="center"/>
          </w:tcPr>
          <w:p>
            <w:pPr>
              <w:pStyle w:val="TableContents"/>
              <w:bidi w:val="0"/>
              <w:spacing w:before="0" w:after="283"/>
              <w:jc w:val="left"/>
              <w:rPr>
                <w:sz w:val="20"/>
              </w:rPr>
            </w:pPr>
            <w:r>
              <w:rPr>
                <w:sz w:val="20"/>
              </w:rPr>
              <w:t>U.S. GAAP ☒</w:t>
            </w:r>
          </w:p>
        </w:tc>
        <w:tc>
          <w:tcPr>
            <w:tcW w:w="494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Accounting Standards Board ☐</w:t>
            </w:r>
          </w:p>
        </w:tc>
        <w:tc>
          <w:tcPr>
            <w:tcW w:w="770" w:type="dxa"/>
            <w:tcBorders/>
            <w:vAlign w:val="center"/>
          </w:tcPr>
          <w:p>
            <w:pPr>
              <w:pStyle w:val="TableContents"/>
              <w:bidi w:val="0"/>
              <w:spacing w:before="0" w:after="283"/>
              <w:jc w:val="right"/>
              <w:rPr>
                <w:sz w:val="20"/>
              </w:rPr>
            </w:pPr>
            <w:r>
              <w:rPr>
                <w:sz w:val="20"/>
              </w:rPr>
              <w:t>Other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w:t>
            </w:r>
          </w:p>
        </w:tc>
        <w:tc>
          <w:tcPr>
            <w:tcW w:w="9982" w:type="dxa"/>
            <w:tcBorders/>
            <w:vAlign w:val="center"/>
          </w:tcPr>
          <w:p>
            <w:pPr>
              <w:pStyle w:val="TableContents"/>
              <w:bidi w:val="0"/>
              <w:spacing w:before="0" w:after="283"/>
              <w:jc w:val="both"/>
              <w:rPr>
                <w:sz w:val="20"/>
              </w:rPr>
            </w:pPr>
            <w:r>
              <w:rPr>
                <w:sz w:val="20"/>
              </w:rPr>
              <w:t>If “Other” has been checked in response to the previous question, indicate by check mark which financial statement item the registrant has elected to follow. Item 17 ☐ Item 18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980"/>
        <w:gridCol w:w="8435"/>
        <w:gridCol w:w="410"/>
      </w:tblGrid>
      <w:tr>
        <w:trPr/>
        <w:tc>
          <w:tcPr>
            <w:tcW w:w="9415" w:type="dxa"/>
            <w:gridSpan w:val="2"/>
            <w:tcBorders/>
            <w:shd w:fill="CCEEFF" w:val="clear"/>
            <w:vAlign w:val="center"/>
          </w:tcPr>
          <w:p>
            <w:pPr>
              <w:pStyle w:val="TableContents"/>
              <w:bidi w:val="0"/>
              <w:spacing w:before="0" w:after="283"/>
              <w:jc w:val="left"/>
              <w:rPr/>
            </w:pPr>
            <w:hyperlink w:anchor="a_001">
              <w:r>
                <w:rPr>
                  <w:rStyle w:val="InternetLink"/>
                  <w:sz w:val="20"/>
                </w:rPr>
                <w:t>INTRODUCTION</w:t>
              </w:r>
            </w:hyperlink>
          </w:p>
        </w:tc>
        <w:tc>
          <w:tcPr>
            <w:tcW w:w="410" w:type="dxa"/>
            <w:tcBorders/>
            <w:shd w:fill="CCEEFF" w:val="clear"/>
            <w:vAlign w:val="center"/>
          </w:tcPr>
          <w:p>
            <w:pPr>
              <w:pStyle w:val="TableContents"/>
              <w:bidi w:val="0"/>
              <w:spacing w:before="0" w:after="283"/>
              <w:jc w:val="center"/>
              <w:rPr>
                <w:sz w:val="20"/>
              </w:rPr>
            </w:pPr>
            <w:r>
              <w:rPr>
                <w:sz w:val="20"/>
              </w:rPr>
              <w:t>ii</w:t>
            </w:r>
          </w:p>
        </w:tc>
      </w:tr>
      <w:tr>
        <w:trPr/>
        <w:tc>
          <w:tcPr>
            <w:tcW w:w="9415" w:type="dxa"/>
            <w:gridSpan w:val="2"/>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415" w:type="dxa"/>
            <w:gridSpan w:val="2"/>
            <w:tcBorders/>
            <w:shd w:fill="CCEEFF" w:val="clear"/>
            <w:vAlign w:val="center"/>
          </w:tcPr>
          <w:p>
            <w:pPr>
              <w:pStyle w:val="TableContents"/>
              <w:bidi w:val="0"/>
              <w:spacing w:before="0" w:after="283"/>
              <w:jc w:val="left"/>
              <w:rPr/>
            </w:pPr>
            <w:hyperlink w:anchor="a_002">
              <w:r>
                <w:rPr>
                  <w:rStyle w:val="InternetLink"/>
                  <w:sz w:val="20"/>
                </w:rPr>
                <w:t>PART I</w:t>
              </w:r>
            </w:hyperlink>
          </w:p>
        </w:tc>
        <w:tc>
          <w:tcPr>
            <w:tcW w:w="410" w:type="dxa"/>
            <w:tcBorders/>
            <w:shd w:fill="CCEEFF" w:val="clear"/>
            <w:vAlign w:val="center"/>
          </w:tcPr>
          <w:p>
            <w:pPr>
              <w:pStyle w:val="TableContents"/>
              <w:bidi w:val="0"/>
              <w:spacing w:before="0" w:after="283"/>
              <w:jc w:val="center"/>
              <w:rPr/>
            </w:pPr>
            <w:r>
              <w:rPr/>
              <w:t> </w:t>
            </w:r>
          </w:p>
        </w:tc>
      </w:tr>
      <w:tr>
        <w:trPr/>
        <w:tc>
          <w:tcPr>
            <w:tcW w:w="98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sz w:val="20"/>
              </w:rPr>
            </w:pPr>
            <w:r>
              <w:rPr>
                <w:sz w:val="20"/>
              </w:rPr>
              <w:t>ITEM 1.</w:t>
            </w:r>
          </w:p>
        </w:tc>
        <w:tc>
          <w:tcPr>
            <w:tcW w:w="8435" w:type="dxa"/>
            <w:tcBorders/>
            <w:shd w:fill="CCEEFF" w:val="clear"/>
            <w:vAlign w:val="center"/>
          </w:tcPr>
          <w:p>
            <w:pPr>
              <w:pStyle w:val="TableContents"/>
              <w:bidi w:val="0"/>
              <w:spacing w:before="0" w:after="283"/>
              <w:jc w:val="left"/>
              <w:rPr/>
            </w:pPr>
            <w:hyperlink w:anchor="a_003">
              <w:r>
                <w:rPr>
                  <w:rStyle w:val="InternetLink"/>
                  <w:sz w:val="20"/>
                </w:rPr>
                <w:t>IDENTITY OF DIRECTORS, SENIOR MANAGEMENT AND ADVISERS</w:t>
              </w:r>
            </w:hyperlink>
          </w:p>
        </w:tc>
        <w:tc>
          <w:tcPr>
            <w:tcW w:w="410" w:type="dxa"/>
            <w:tcBorders/>
            <w:shd w:fill="CCEEFF" w:val="clear"/>
            <w:vAlign w:val="center"/>
          </w:tcPr>
          <w:p>
            <w:pPr>
              <w:pStyle w:val="TableContents"/>
              <w:bidi w:val="0"/>
              <w:spacing w:before="0" w:after="283"/>
              <w:jc w:val="center"/>
              <w:rPr>
                <w:sz w:val="20"/>
              </w:rPr>
            </w:pPr>
            <w:r>
              <w:rPr>
                <w:sz w:val="20"/>
              </w:rPr>
              <w:t>1</w:t>
            </w:r>
          </w:p>
        </w:tc>
      </w:tr>
      <w:tr>
        <w:trPr/>
        <w:tc>
          <w:tcPr>
            <w:tcW w:w="980" w:type="dxa"/>
            <w:tcBorders/>
            <w:vAlign w:val="center"/>
          </w:tcPr>
          <w:p>
            <w:pPr>
              <w:pStyle w:val="TableContents"/>
              <w:bidi w:val="0"/>
              <w:spacing w:before="0" w:after="283"/>
              <w:jc w:val="left"/>
              <w:rPr>
                <w:sz w:val="20"/>
              </w:rPr>
            </w:pPr>
            <w:r>
              <w:rPr>
                <w:sz w:val="20"/>
              </w:rPr>
              <w:t>ITEM 2.</w:t>
            </w:r>
          </w:p>
        </w:tc>
        <w:tc>
          <w:tcPr>
            <w:tcW w:w="8435" w:type="dxa"/>
            <w:tcBorders/>
            <w:vAlign w:val="center"/>
          </w:tcPr>
          <w:p>
            <w:pPr>
              <w:pStyle w:val="TableContents"/>
              <w:bidi w:val="0"/>
              <w:spacing w:before="0" w:after="283"/>
              <w:jc w:val="left"/>
              <w:rPr/>
            </w:pPr>
            <w:hyperlink w:anchor="a_004">
              <w:r>
                <w:rPr>
                  <w:rStyle w:val="InternetLink"/>
                  <w:sz w:val="20"/>
                </w:rPr>
                <w:t>OFFER STATISTICS AND EXPECTED TIMETABLE</w:t>
              </w:r>
            </w:hyperlink>
          </w:p>
        </w:tc>
        <w:tc>
          <w:tcPr>
            <w:tcW w:w="410" w:type="dxa"/>
            <w:tcBorders/>
            <w:vAlign w:val="center"/>
          </w:tcPr>
          <w:p>
            <w:pPr>
              <w:pStyle w:val="TableContents"/>
              <w:bidi w:val="0"/>
              <w:spacing w:before="0" w:after="283"/>
              <w:jc w:val="center"/>
              <w:rPr>
                <w:sz w:val="20"/>
              </w:rPr>
            </w:pPr>
            <w:r>
              <w:rPr>
                <w:sz w:val="20"/>
              </w:rPr>
              <w:t>1</w:t>
            </w:r>
          </w:p>
        </w:tc>
      </w:tr>
      <w:tr>
        <w:trPr/>
        <w:tc>
          <w:tcPr>
            <w:tcW w:w="980" w:type="dxa"/>
            <w:tcBorders/>
            <w:shd w:fill="CCEEFF" w:val="clear"/>
            <w:vAlign w:val="center"/>
          </w:tcPr>
          <w:p>
            <w:pPr>
              <w:pStyle w:val="TableContents"/>
              <w:bidi w:val="0"/>
              <w:spacing w:before="0" w:after="283"/>
              <w:jc w:val="left"/>
              <w:rPr>
                <w:sz w:val="20"/>
              </w:rPr>
            </w:pPr>
            <w:r>
              <w:rPr>
                <w:sz w:val="20"/>
              </w:rPr>
              <w:t>ITEM 3.</w:t>
            </w:r>
          </w:p>
        </w:tc>
        <w:tc>
          <w:tcPr>
            <w:tcW w:w="8435" w:type="dxa"/>
            <w:tcBorders/>
            <w:shd w:fill="CCEEFF" w:val="clear"/>
            <w:vAlign w:val="center"/>
          </w:tcPr>
          <w:p>
            <w:pPr>
              <w:pStyle w:val="TableContents"/>
              <w:bidi w:val="0"/>
              <w:spacing w:before="0" w:after="283"/>
              <w:jc w:val="left"/>
              <w:rPr/>
            </w:pPr>
            <w:hyperlink w:anchor="a_005">
              <w:r>
                <w:rPr>
                  <w:rStyle w:val="InternetLink"/>
                  <w:sz w:val="20"/>
                </w:rPr>
                <w:t>KEY INFORMATION</w:t>
              </w:r>
            </w:hyperlink>
          </w:p>
        </w:tc>
        <w:tc>
          <w:tcPr>
            <w:tcW w:w="410" w:type="dxa"/>
            <w:tcBorders/>
            <w:shd w:fill="CCEEFF" w:val="clear"/>
            <w:vAlign w:val="center"/>
          </w:tcPr>
          <w:p>
            <w:pPr>
              <w:pStyle w:val="TableContents"/>
              <w:bidi w:val="0"/>
              <w:spacing w:before="0" w:after="283"/>
              <w:jc w:val="center"/>
              <w:rPr>
                <w:sz w:val="20"/>
              </w:rPr>
            </w:pPr>
            <w:r>
              <w:rPr>
                <w:sz w:val="20"/>
              </w:rPr>
              <w:t>1</w:t>
            </w:r>
          </w:p>
        </w:tc>
      </w:tr>
      <w:tr>
        <w:trPr/>
        <w:tc>
          <w:tcPr>
            <w:tcW w:w="980" w:type="dxa"/>
            <w:tcBorders/>
            <w:vAlign w:val="center"/>
          </w:tcPr>
          <w:p>
            <w:pPr>
              <w:pStyle w:val="TableContents"/>
              <w:bidi w:val="0"/>
              <w:spacing w:before="0" w:after="283"/>
              <w:jc w:val="left"/>
              <w:rPr>
                <w:sz w:val="20"/>
              </w:rPr>
            </w:pPr>
            <w:r>
              <w:rPr>
                <w:sz w:val="20"/>
              </w:rPr>
              <w:t>ITEM 4.</w:t>
            </w:r>
          </w:p>
        </w:tc>
        <w:tc>
          <w:tcPr>
            <w:tcW w:w="8435" w:type="dxa"/>
            <w:tcBorders/>
            <w:vAlign w:val="center"/>
          </w:tcPr>
          <w:p>
            <w:pPr>
              <w:pStyle w:val="TableContents"/>
              <w:bidi w:val="0"/>
              <w:spacing w:before="0" w:after="283"/>
              <w:jc w:val="left"/>
              <w:rPr/>
            </w:pPr>
            <w:hyperlink w:anchor="a_006">
              <w:r>
                <w:rPr>
                  <w:rStyle w:val="InternetLink"/>
                  <w:sz w:val="20"/>
                </w:rPr>
                <w:t>INFORMATION ON THE COMPANY</w:t>
              </w:r>
            </w:hyperlink>
          </w:p>
        </w:tc>
        <w:tc>
          <w:tcPr>
            <w:tcW w:w="410" w:type="dxa"/>
            <w:tcBorders/>
            <w:vAlign w:val="center"/>
          </w:tcPr>
          <w:p>
            <w:pPr>
              <w:pStyle w:val="TableContents"/>
              <w:bidi w:val="0"/>
              <w:spacing w:before="0" w:after="283"/>
              <w:jc w:val="center"/>
              <w:rPr>
                <w:sz w:val="20"/>
              </w:rPr>
            </w:pPr>
            <w:r>
              <w:rPr>
                <w:sz w:val="20"/>
              </w:rPr>
              <w:t>36</w:t>
            </w:r>
          </w:p>
        </w:tc>
      </w:tr>
      <w:tr>
        <w:trPr/>
        <w:tc>
          <w:tcPr>
            <w:tcW w:w="980" w:type="dxa"/>
            <w:tcBorders/>
            <w:shd w:fill="CCEEFF" w:val="clear"/>
            <w:vAlign w:val="center"/>
          </w:tcPr>
          <w:p>
            <w:pPr>
              <w:pStyle w:val="TableContents"/>
              <w:bidi w:val="0"/>
              <w:spacing w:before="0" w:after="283"/>
              <w:jc w:val="left"/>
              <w:rPr>
                <w:sz w:val="20"/>
              </w:rPr>
            </w:pPr>
            <w:r>
              <w:rPr>
                <w:sz w:val="20"/>
              </w:rPr>
              <w:t>ITEM 4A.</w:t>
            </w:r>
          </w:p>
        </w:tc>
        <w:tc>
          <w:tcPr>
            <w:tcW w:w="8435" w:type="dxa"/>
            <w:tcBorders/>
            <w:shd w:fill="CCEEFF" w:val="clear"/>
            <w:vAlign w:val="center"/>
          </w:tcPr>
          <w:p>
            <w:pPr>
              <w:pStyle w:val="TableContents"/>
              <w:bidi w:val="0"/>
              <w:spacing w:before="0" w:after="283"/>
              <w:jc w:val="left"/>
              <w:rPr/>
            </w:pPr>
            <w:hyperlink w:anchor="a_007">
              <w:r>
                <w:rPr>
                  <w:rStyle w:val="InternetLink"/>
                  <w:sz w:val="20"/>
                </w:rPr>
                <w:t>UNRESOLVED STAFF COMMENTS</w:t>
              </w:r>
            </w:hyperlink>
          </w:p>
        </w:tc>
        <w:tc>
          <w:tcPr>
            <w:tcW w:w="410" w:type="dxa"/>
            <w:tcBorders/>
            <w:shd w:fill="CCEEFF" w:val="clear"/>
            <w:vAlign w:val="center"/>
          </w:tcPr>
          <w:p>
            <w:pPr>
              <w:pStyle w:val="TableContents"/>
              <w:bidi w:val="0"/>
              <w:spacing w:before="0" w:after="283"/>
              <w:jc w:val="center"/>
              <w:rPr>
                <w:sz w:val="20"/>
              </w:rPr>
            </w:pPr>
            <w:r>
              <w:rPr>
                <w:sz w:val="20"/>
              </w:rPr>
              <w:t>64</w:t>
            </w:r>
          </w:p>
        </w:tc>
      </w:tr>
      <w:tr>
        <w:trPr/>
        <w:tc>
          <w:tcPr>
            <w:tcW w:w="980" w:type="dxa"/>
            <w:tcBorders/>
            <w:vAlign w:val="center"/>
          </w:tcPr>
          <w:p>
            <w:pPr>
              <w:pStyle w:val="TableContents"/>
              <w:bidi w:val="0"/>
              <w:spacing w:before="0" w:after="283"/>
              <w:jc w:val="left"/>
              <w:rPr>
                <w:sz w:val="20"/>
              </w:rPr>
            </w:pPr>
            <w:r>
              <w:rPr>
                <w:sz w:val="20"/>
              </w:rPr>
              <w:t>ITEM 5.</w:t>
            </w:r>
          </w:p>
        </w:tc>
        <w:tc>
          <w:tcPr>
            <w:tcW w:w="8435" w:type="dxa"/>
            <w:tcBorders/>
            <w:vAlign w:val="center"/>
          </w:tcPr>
          <w:p>
            <w:pPr>
              <w:pStyle w:val="TableContents"/>
              <w:bidi w:val="0"/>
              <w:spacing w:before="0" w:after="283"/>
              <w:jc w:val="left"/>
              <w:rPr/>
            </w:pPr>
            <w:hyperlink w:anchor="a_008">
              <w:r>
                <w:rPr>
                  <w:rStyle w:val="InternetLink"/>
                  <w:sz w:val="20"/>
                </w:rPr>
                <w:t>OPERATING AND FINANCIAL REVIEW AND PROSPECTS</w:t>
              </w:r>
            </w:hyperlink>
          </w:p>
        </w:tc>
        <w:tc>
          <w:tcPr>
            <w:tcW w:w="410" w:type="dxa"/>
            <w:tcBorders/>
            <w:vAlign w:val="center"/>
          </w:tcPr>
          <w:p>
            <w:pPr>
              <w:pStyle w:val="TableContents"/>
              <w:bidi w:val="0"/>
              <w:spacing w:before="0" w:after="283"/>
              <w:jc w:val="center"/>
              <w:rPr>
                <w:sz w:val="20"/>
              </w:rPr>
            </w:pPr>
            <w:r>
              <w:rPr>
                <w:sz w:val="20"/>
              </w:rPr>
              <w:t>65</w:t>
            </w:r>
          </w:p>
        </w:tc>
      </w:tr>
      <w:tr>
        <w:trPr/>
        <w:tc>
          <w:tcPr>
            <w:tcW w:w="980" w:type="dxa"/>
            <w:tcBorders/>
            <w:shd w:fill="CCEEFF" w:val="clear"/>
            <w:vAlign w:val="center"/>
          </w:tcPr>
          <w:p>
            <w:pPr>
              <w:pStyle w:val="TableContents"/>
              <w:bidi w:val="0"/>
              <w:spacing w:before="0" w:after="283"/>
              <w:jc w:val="left"/>
              <w:rPr>
                <w:sz w:val="20"/>
              </w:rPr>
            </w:pPr>
            <w:r>
              <w:rPr>
                <w:sz w:val="20"/>
              </w:rPr>
              <w:t>ITEM 6.</w:t>
            </w:r>
          </w:p>
        </w:tc>
        <w:tc>
          <w:tcPr>
            <w:tcW w:w="8435" w:type="dxa"/>
            <w:tcBorders/>
            <w:shd w:fill="CCEEFF" w:val="clear"/>
            <w:vAlign w:val="center"/>
          </w:tcPr>
          <w:p>
            <w:pPr>
              <w:pStyle w:val="TableContents"/>
              <w:bidi w:val="0"/>
              <w:spacing w:before="0" w:after="283"/>
              <w:jc w:val="left"/>
              <w:rPr/>
            </w:pPr>
            <w:hyperlink w:anchor="a_009">
              <w:r>
                <w:rPr>
                  <w:rStyle w:val="InternetLink"/>
                  <w:sz w:val="20"/>
                </w:rPr>
                <w:t>DIRECTORS, SENIOR MANAGEMENT AND EMPLOYEES</w:t>
              </w:r>
            </w:hyperlink>
          </w:p>
        </w:tc>
        <w:tc>
          <w:tcPr>
            <w:tcW w:w="410" w:type="dxa"/>
            <w:tcBorders/>
            <w:shd w:fill="CCEEFF" w:val="clear"/>
            <w:vAlign w:val="center"/>
          </w:tcPr>
          <w:p>
            <w:pPr>
              <w:pStyle w:val="TableContents"/>
              <w:bidi w:val="0"/>
              <w:spacing w:before="0" w:after="283"/>
              <w:jc w:val="center"/>
              <w:rPr>
                <w:sz w:val="20"/>
              </w:rPr>
            </w:pPr>
            <w:r>
              <w:rPr>
                <w:sz w:val="20"/>
              </w:rPr>
              <w:t>83</w:t>
            </w:r>
          </w:p>
        </w:tc>
      </w:tr>
      <w:tr>
        <w:trPr/>
        <w:tc>
          <w:tcPr>
            <w:tcW w:w="980" w:type="dxa"/>
            <w:tcBorders/>
            <w:vAlign w:val="center"/>
          </w:tcPr>
          <w:p>
            <w:pPr>
              <w:pStyle w:val="TableContents"/>
              <w:bidi w:val="0"/>
              <w:spacing w:before="0" w:after="283"/>
              <w:jc w:val="left"/>
              <w:rPr>
                <w:sz w:val="20"/>
              </w:rPr>
            </w:pPr>
            <w:r>
              <w:rPr>
                <w:sz w:val="20"/>
              </w:rPr>
              <w:t>ITEM 7.</w:t>
            </w:r>
          </w:p>
        </w:tc>
        <w:tc>
          <w:tcPr>
            <w:tcW w:w="8435" w:type="dxa"/>
            <w:tcBorders/>
            <w:vAlign w:val="center"/>
          </w:tcPr>
          <w:p>
            <w:pPr>
              <w:pStyle w:val="TableContents"/>
              <w:bidi w:val="0"/>
              <w:spacing w:before="0" w:after="283"/>
              <w:jc w:val="left"/>
              <w:rPr/>
            </w:pPr>
            <w:hyperlink w:anchor="a_010">
              <w:r>
                <w:rPr>
                  <w:rStyle w:val="InternetLink"/>
                  <w:sz w:val="20"/>
                </w:rPr>
                <w:t>MAJOR SHAREHOLDERS AND RELATED PARTY TRANSACTIONS</w:t>
              </w:r>
            </w:hyperlink>
          </w:p>
        </w:tc>
        <w:tc>
          <w:tcPr>
            <w:tcW w:w="410" w:type="dxa"/>
            <w:tcBorders/>
            <w:vAlign w:val="center"/>
          </w:tcPr>
          <w:p>
            <w:pPr>
              <w:pStyle w:val="TableContents"/>
              <w:bidi w:val="0"/>
              <w:spacing w:before="0" w:after="283"/>
              <w:jc w:val="center"/>
              <w:rPr>
                <w:sz w:val="20"/>
              </w:rPr>
            </w:pPr>
            <w:r>
              <w:rPr>
                <w:sz w:val="20"/>
              </w:rPr>
              <w:t>91</w:t>
            </w:r>
          </w:p>
        </w:tc>
      </w:tr>
      <w:tr>
        <w:trPr/>
        <w:tc>
          <w:tcPr>
            <w:tcW w:w="980" w:type="dxa"/>
            <w:tcBorders/>
            <w:shd w:fill="CCEEFF" w:val="clear"/>
            <w:vAlign w:val="center"/>
          </w:tcPr>
          <w:p>
            <w:pPr>
              <w:pStyle w:val="TableContents"/>
              <w:bidi w:val="0"/>
              <w:spacing w:before="0" w:after="283"/>
              <w:jc w:val="left"/>
              <w:rPr>
                <w:sz w:val="20"/>
              </w:rPr>
            </w:pPr>
            <w:r>
              <w:rPr>
                <w:sz w:val="20"/>
              </w:rPr>
              <w:t>ITEM 8.</w:t>
            </w:r>
          </w:p>
        </w:tc>
        <w:tc>
          <w:tcPr>
            <w:tcW w:w="8435" w:type="dxa"/>
            <w:tcBorders/>
            <w:shd w:fill="CCEEFF" w:val="clear"/>
            <w:vAlign w:val="center"/>
          </w:tcPr>
          <w:p>
            <w:pPr>
              <w:pStyle w:val="TableContents"/>
              <w:bidi w:val="0"/>
              <w:spacing w:before="0" w:after="283"/>
              <w:jc w:val="left"/>
              <w:rPr/>
            </w:pPr>
            <w:hyperlink w:anchor="a_011">
              <w:r>
                <w:rPr>
                  <w:rStyle w:val="InternetLink"/>
                  <w:sz w:val="20"/>
                </w:rPr>
                <w:t>FINANCIAL INFORMATION</w:t>
              </w:r>
            </w:hyperlink>
          </w:p>
        </w:tc>
        <w:tc>
          <w:tcPr>
            <w:tcW w:w="410" w:type="dxa"/>
            <w:tcBorders/>
            <w:shd w:fill="CCEEFF" w:val="clear"/>
            <w:vAlign w:val="center"/>
          </w:tcPr>
          <w:p>
            <w:pPr>
              <w:pStyle w:val="TableContents"/>
              <w:bidi w:val="0"/>
              <w:spacing w:before="0" w:after="283"/>
              <w:jc w:val="center"/>
              <w:rPr>
                <w:sz w:val="20"/>
              </w:rPr>
            </w:pPr>
            <w:r>
              <w:rPr>
                <w:sz w:val="20"/>
              </w:rPr>
              <w:t>92</w:t>
            </w:r>
          </w:p>
        </w:tc>
      </w:tr>
      <w:tr>
        <w:trPr/>
        <w:tc>
          <w:tcPr>
            <w:tcW w:w="980" w:type="dxa"/>
            <w:tcBorders/>
            <w:vAlign w:val="center"/>
          </w:tcPr>
          <w:p>
            <w:pPr>
              <w:pStyle w:val="TableContents"/>
              <w:bidi w:val="0"/>
              <w:spacing w:before="0" w:after="283"/>
              <w:jc w:val="left"/>
              <w:rPr>
                <w:sz w:val="20"/>
              </w:rPr>
            </w:pPr>
            <w:r>
              <w:rPr>
                <w:sz w:val="20"/>
              </w:rPr>
              <w:t>ITEM 9.</w:t>
            </w:r>
          </w:p>
        </w:tc>
        <w:tc>
          <w:tcPr>
            <w:tcW w:w="8435" w:type="dxa"/>
            <w:tcBorders/>
            <w:vAlign w:val="center"/>
          </w:tcPr>
          <w:p>
            <w:pPr>
              <w:pStyle w:val="TableContents"/>
              <w:bidi w:val="0"/>
              <w:spacing w:before="0" w:after="283"/>
              <w:jc w:val="left"/>
              <w:rPr/>
            </w:pPr>
            <w:hyperlink w:anchor="a_012">
              <w:r>
                <w:rPr>
                  <w:rStyle w:val="InternetLink"/>
                  <w:sz w:val="20"/>
                </w:rPr>
                <w:t>THE OFFER AND LISTING</w:t>
              </w:r>
            </w:hyperlink>
          </w:p>
        </w:tc>
        <w:tc>
          <w:tcPr>
            <w:tcW w:w="410" w:type="dxa"/>
            <w:tcBorders/>
            <w:vAlign w:val="center"/>
          </w:tcPr>
          <w:p>
            <w:pPr>
              <w:pStyle w:val="TableContents"/>
              <w:bidi w:val="0"/>
              <w:spacing w:before="0" w:after="283"/>
              <w:jc w:val="center"/>
              <w:rPr>
                <w:sz w:val="20"/>
              </w:rPr>
            </w:pPr>
            <w:r>
              <w:rPr>
                <w:sz w:val="20"/>
              </w:rPr>
              <w:t>93</w:t>
            </w:r>
          </w:p>
        </w:tc>
      </w:tr>
      <w:tr>
        <w:trPr/>
        <w:tc>
          <w:tcPr>
            <w:tcW w:w="980" w:type="dxa"/>
            <w:tcBorders/>
            <w:shd w:fill="CCEEFF" w:val="clear"/>
            <w:vAlign w:val="center"/>
          </w:tcPr>
          <w:p>
            <w:pPr>
              <w:pStyle w:val="TableContents"/>
              <w:bidi w:val="0"/>
              <w:spacing w:before="0" w:after="283"/>
              <w:jc w:val="left"/>
              <w:rPr>
                <w:sz w:val="20"/>
              </w:rPr>
            </w:pPr>
            <w:r>
              <w:rPr>
                <w:sz w:val="20"/>
              </w:rPr>
              <w:t>ITEM 10.</w:t>
            </w:r>
          </w:p>
        </w:tc>
        <w:tc>
          <w:tcPr>
            <w:tcW w:w="8435" w:type="dxa"/>
            <w:tcBorders/>
            <w:shd w:fill="CCEEFF" w:val="clear"/>
            <w:vAlign w:val="center"/>
          </w:tcPr>
          <w:p>
            <w:pPr>
              <w:pStyle w:val="TableContents"/>
              <w:bidi w:val="0"/>
              <w:spacing w:before="0" w:after="283"/>
              <w:jc w:val="left"/>
              <w:rPr/>
            </w:pPr>
            <w:hyperlink w:anchor="a_013">
              <w:r>
                <w:rPr>
                  <w:rStyle w:val="InternetLink"/>
                  <w:sz w:val="20"/>
                </w:rPr>
                <w:t>ADDITIONAL INFORMATION</w:t>
              </w:r>
            </w:hyperlink>
          </w:p>
        </w:tc>
        <w:tc>
          <w:tcPr>
            <w:tcW w:w="410" w:type="dxa"/>
            <w:tcBorders/>
            <w:shd w:fill="CCEEFF" w:val="clear"/>
            <w:vAlign w:val="center"/>
          </w:tcPr>
          <w:p>
            <w:pPr>
              <w:pStyle w:val="TableContents"/>
              <w:bidi w:val="0"/>
              <w:spacing w:before="0" w:after="283"/>
              <w:jc w:val="center"/>
              <w:rPr>
                <w:sz w:val="20"/>
              </w:rPr>
            </w:pPr>
            <w:r>
              <w:rPr>
                <w:sz w:val="20"/>
              </w:rPr>
              <w:t>93</w:t>
            </w:r>
          </w:p>
        </w:tc>
      </w:tr>
      <w:tr>
        <w:trPr/>
        <w:tc>
          <w:tcPr>
            <w:tcW w:w="980" w:type="dxa"/>
            <w:tcBorders/>
            <w:vAlign w:val="center"/>
          </w:tcPr>
          <w:p>
            <w:pPr>
              <w:pStyle w:val="TableContents"/>
              <w:bidi w:val="0"/>
              <w:spacing w:before="0" w:after="283"/>
              <w:jc w:val="left"/>
              <w:rPr>
                <w:sz w:val="20"/>
              </w:rPr>
            </w:pPr>
            <w:r>
              <w:rPr>
                <w:sz w:val="20"/>
              </w:rPr>
              <w:t>ITEM 11.</w:t>
            </w:r>
          </w:p>
        </w:tc>
        <w:tc>
          <w:tcPr>
            <w:tcW w:w="8435" w:type="dxa"/>
            <w:tcBorders/>
            <w:vAlign w:val="center"/>
          </w:tcPr>
          <w:p>
            <w:pPr>
              <w:pStyle w:val="TableContents"/>
              <w:bidi w:val="0"/>
              <w:spacing w:before="0" w:after="283"/>
              <w:jc w:val="left"/>
              <w:rPr/>
            </w:pPr>
            <w:hyperlink w:anchor="a_014">
              <w:r>
                <w:rPr>
                  <w:rStyle w:val="InternetLink"/>
                  <w:sz w:val="20"/>
                </w:rPr>
                <w:t>QUANTITATIVE AND QUALITATIVE DISCLOSURES ABOUT MARKET RISK</w:t>
              </w:r>
            </w:hyperlink>
          </w:p>
        </w:tc>
        <w:tc>
          <w:tcPr>
            <w:tcW w:w="410" w:type="dxa"/>
            <w:tcBorders/>
            <w:vAlign w:val="center"/>
          </w:tcPr>
          <w:p>
            <w:pPr>
              <w:pStyle w:val="TableContents"/>
              <w:bidi w:val="0"/>
              <w:spacing w:before="0" w:after="283"/>
              <w:jc w:val="center"/>
              <w:rPr>
                <w:sz w:val="20"/>
              </w:rPr>
            </w:pPr>
            <w:r>
              <w:rPr>
                <w:sz w:val="20"/>
              </w:rPr>
              <w:t>103</w:t>
            </w:r>
          </w:p>
        </w:tc>
      </w:tr>
      <w:tr>
        <w:trPr/>
        <w:tc>
          <w:tcPr>
            <w:tcW w:w="980" w:type="dxa"/>
            <w:tcBorders/>
            <w:shd w:fill="CCEEFF" w:val="clear"/>
            <w:vAlign w:val="center"/>
          </w:tcPr>
          <w:p>
            <w:pPr>
              <w:pStyle w:val="TableContents"/>
              <w:bidi w:val="0"/>
              <w:spacing w:before="0" w:after="283"/>
              <w:jc w:val="left"/>
              <w:rPr>
                <w:sz w:val="20"/>
              </w:rPr>
            </w:pPr>
            <w:r>
              <w:rPr>
                <w:sz w:val="20"/>
              </w:rPr>
              <w:t>ITEM 12.</w:t>
            </w:r>
          </w:p>
        </w:tc>
        <w:tc>
          <w:tcPr>
            <w:tcW w:w="8435" w:type="dxa"/>
            <w:tcBorders/>
            <w:shd w:fill="CCEEFF" w:val="clear"/>
            <w:vAlign w:val="center"/>
          </w:tcPr>
          <w:p>
            <w:pPr>
              <w:pStyle w:val="TableContents"/>
              <w:bidi w:val="0"/>
              <w:spacing w:before="0" w:after="283"/>
              <w:jc w:val="left"/>
              <w:rPr/>
            </w:pPr>
            <w:hyperlink w:anchor="a_015">
              <w:r>
                <w:rPr>
                  <w:rStyle w:val="InternetLink"/>
                  <w:sz w:val="20"/>
                </w:rPr>
                <w:t>DESCRIPTION OF SECURITIES OTHER THAN EQUITY SECURITIES</w:t>
              </w:r>
            </w:hyperlink>
          </w:p>
        </w:tc>
        <w:tc>
          <w:tcPr>
            <w:tcW w:w="410" w:type="dxa"/>
            <w:tcBorders/>
            <w:shd w:fill="CCEEFF" w:val="clear"/>
            <w:vAlign w:val="center"/>
          </w:tcPr>
          <w:p>
            <w:pPr>
              <w:pStyle w:val="TableContents"/>
              <w:bidi w:val="0"/>
              <w:spacing w:before="0" w:after="283"/>
              <w:jc w:val="center"/>
              <w:rPr>
                <w:sz w:val="20"/>
              </w:rPr>
            </w:pPr>
            <w:r>
              <w:rPr>
                <w:sz w:val="20"/>
              </w:rPr>
              <w:t>104</w:t>
            </w:r>
          </w:p>
        </w:tc>
      </w:tr>
      <w:tr>
        <w:trPr/>
        <w:tc>
          <w:tcPr>
            <w:tcW w:w="9415" w:type="dxa"/>
            <w:gridSpan w:val="2"/>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415" w:type="dxa"/>
            <w:gridSpan w:val="2"/>
            <w:tcBorders/>
            <w:shd w:fill="CCEEFF" w:val="clear"/>
            <w:vAlign w:val="center"/>
          </w:tcPr>
          <w:p>
            <w:pPr>
              <w:pStyle w:val="TableContents"/>
              <w:bidi w:val="0"/>
              <w:spacing w:before="0" w:after="283"/>
              <w:jc w:val="left"/>
              <w:rPr/>
            </w:pPr>
            <w:hyperlink w:anchor="a_016">
              <w:r>
                <w:rPr>
                  <w:rStyle w:val="InternetLink"/>
                  <w:sz w:val="20"/>
                </w:rPr>
                <w:t>PART II</w:t>
              </w:r>
            </w:hyperlink>
          </w:p>
        </w:tc>
        <w:tc>
          <w:tcPr>
            <w:tcW w:w="410" w:type="dxa"/>
            <w:tcBorders/>
            <w:shd w:fill="CCEEFF" w:val="clear"/>
            <w:vAlign w:val="center"/>
          </w:tcPr>
          <w:p>
            <w:pPr>
              <w:pStyle w:val="TableContents"/>
              <w:bidi w:val="0"/>
              <w:spacing w:before="0" w:after="283"/>
              <w:jc w:val="center"/>
              <w:rPr/>
            </w:pPr>
            <w:r>
              <w:rPr/>
              <w:t> </w:t>
            </w:r>
          </w:p>
        </w:tc>
      </w:tr>
      <w:tr>
        <w:trPr/>
        <w:tc>
          <w:tcPr>
            <w:tcW w:w="98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sz w:val="20"/>
              </w:rPr>
            </w:pPr>
            <w:r>
              <w:rPr>
                <w:sz w:val="20"/>
              </w:rPr>
              <w:t>ITEM 13.</w:t>
            </w:r>
          </w:p>
        </w:tc>
        <w:tc>
          <w:tcPr>
            <w:tcW w:w="8435" w:type="dxa"/>
            <w:tcBorders/>
            <w:shd w:fill="CCEEFF" w:val="clear"/>
            <w:vAlign w:val="center"/>
          </w:tcPr>
          <w:p>
            <w:pPr>
              <w:pStyle w:val="TableContents"/>
              <w:bidi w:val="0"/>
              <w:spacing w:before="0" w:after="283"/>
              <w:jc w:val="left"/>
              <w:rPr/>
            </w:pPr>
            <w:hyperlink w:anchor="a_017">
              <w:r>
                <w:rPr>
                  <w:rStyle w:val="InternetLink"/>
                  <w:sz w:val="20"/>
                </w:rPr>
                <w:t>DEFAULTS, DIVIDEND ARREARAGES AND DELINQUENCIES</w:t>
              </w:r>
            </w:hyperlink>
          </w:p>
        </w:tc>
        <w:tc>
          <w:tcPr>
            <w:tcW w:w="410" w:type="dxa"/>
            <w:tcBorders/>
            <w:shd w:fill="CCEEFF" w:val="clear"/>
            <w:vAlign w:val="center"/>
          </w:tcPr>
          <w:p>
            <w:pPr>
              <w:pStyle w:val="TableContents"/>
              <w:bidi w:val="0"/>
              <w:spacing w:before="0" w:after="283"/>
              <w:jc w:val="center"/>
              <w:rPr>
                <w:sz w:val="20"/>
              </w:rPr>
            </w:pPr>
            <w:r>
              <w:rPr>
                <w:sz w:val="20"/>
              </w:rPr>
              <w:t>105</w:t>
            </w:r>
          </w:p>
        </w:tc>
      </w:tr>
      <w:tr>
        <w:trPr/>
        <w:tc>
          <w:tcPr>
            <w:tcW w:w="980" w:type="dxa"/>
            <w:tcBorders/>
            <w:vAlign w:val="center"/>
          </w:tcPr>
          <w:p>
            <w:pPr>
              <w:pStyle w:val="TableContents"/>
              <w:bidi w:val="0"/>
              <w:spacing w:before="0" w:after="283"/>
              <w:jc w:val="left"/>
              <w:rPr>
                <w:sz w:val="20"/>
              </w:rPr>
            </w:pPr>
            <w:r>
              <w:rPr>
                <w:sz w:val="20"/>
              </w:rPr>
              <w:t>ITEM 14.</w:t>
            </w:r>
          </w:p>
        </w:tc>
        <w:tc>
          <w:tcPr>
            <w:tcW w:w="8435" w:type="dxa"/>
            <w:tcBorders/>
            <w:vAlign w:val="center"/>
          </w:tcPr>
          <w:p>
            <w:pPr>
              <w:pStyle w:val="TableContents"/>
              <w:bidi w:val="0"/>
              <w:spacing w:before="0" w:after="283"/>
              <w:jc w:val="left"/>
              <w:rPr/>
            </w:pPr>
            <w:hyperlink w:anchor="a_018">
              <w:r>
                <w:rPr>
                  <w:rStyle w:val="InternetLink"/>
                  <w:sz w:val="20"/>
                </w:rPr>
                <w:t>MATERIAL MODIFICATIONS TO THE RIGHTS OF SECURITY HOLDERS AND USE OF PROCEEDS</w:t>
              </w:r>
            </w:hyperlink>
          </w:p>
        </w:tc>
        <w:tc>
          <w:tcPr>
            <w:tcW w:w="410" w:type="dxa"/>
            <w:tcBorders/>
            <w:vAlign w:val="center"/>
          </w:tcPr>
          <w:p>
            <w:pPr>
              <w:pStyle w:val="TableContents"/>
              <w:bidi w:val="0"/>
              <w:spacing w:before="0" w:after="283"/>
              <w:jc w:val="center"/>
              <w:rPr>
                <w:sz w:val="20"/>
              </w:rPr>
            </w:pPr>
            <w:r>
              <w:rPr>
                <w:sz w:val="20"/>
              </w:rPr>
              <w:t>105</w:t>
            </w:r>
          </w:p>
        </w:tc>
      </w:tr>
      <w:tr>
        <w:trPr/>
        <w:tc>
          <w:tcPr>
            <w:tcW w:w="980" w:type="dxa"/>
            <w:tcBorders/>
            <w:shd w:fill="CCEEFF" w:val="clear"/>
            <w:vAlign w:val="center"/>
          </w:tcPr>
          <w:p>
            <w:pPr>
              <w:pStyle w:val="TableContents"/>
              <w:bidi w:val="0"/>
              <w:spacing w:before="0" w:after="283"/>
              <w:jc w:val="left"/>
              <w:rPr>
                <w:sz w:val="20"/>
              </w:rPr>
            </w:pPr>
            <w:r>
              <w:rPr>
                <w:sz w:val="20"/>
              </w:rPr>
              <w:t>ITEM 15.</w:t>
            </w:r>
          </w:p>
        </w:tc>
        <w:tc>
          <w:tcPr>
            <w:tcW w:w="8435" w:type="dxa"/>
            <w:tcBorders/>
            <w:shd w:fill="CCEEFF" w:val="clear"/>
            <w:vAlign w:val="center"/>
          </w:tcPr>
          <w:p>
            <w:pPr>
              <w:pStyle w:val="TableContents"/>
              <w:bidi w:val="0"/>
              <w:spacing w:before="0" w:after="283"/>
              <w:jc w:val="left"/>
              <w:rPr/>
            </w:pPr>
            <w:hyperlink w:anchor="a_019">
              <w:r>
                <w:rPr>
                  <w:rStyle w:val="InternetLink"/>
                  <w:sz w:val="20"/>
                </w:rPr>
                <w:t>CONTROLS AND PROCEDURES</w:t>
              </w:r>
            </w:hyperlink>
          </w:p>
        </w:tc>
        <w:tc>
          <w:tcPr>
            <w:tcW w:w="410" w:type="dxa"/>
            <w:tcBorders/>
            <w:shd w:fill="CCEEFF" w:val="clear"/>
            <w:vAlign w:val="center"/>
          </w:tcPr>
          <w:p>
            <w:pPr>
              <w:pStyle w:val="TableContents"/>
              <w:bidi w:val="0"/>
              <w:spacing w:before="0" w:after="283"/>
              <w:jc w:val="center"/>
              <w:rPr>
                <w:sz w:val="20"/>
              </w:rPr>
            </w:pPr>
            <w:r>
              <w:rPr>
                <w:sz w:val="20"/>
              </w:rPr>
              <w:t>106</w:t>
            </w:r>
          </w:p>
        </w:tc>
      </w:tr>
      <w:tr>
        <w:trPr/>
        <w:tc>
          <w:tcPr>
            <w:tcW w:w="980" w:type="dxa"/>
            <w:tcBorders/>
            <w:vAlign w:val="center"/>
          </w:tcPr>
          <w:p>
            <w:pPr>
              <w:pStyle w:val="TableContents"/>
              <w:bidi w:val="0"/>
              <w:spacing w:before="0" w:after="283"/>
              <w:jc w:val="left"/>
              <w:rPr>
                <w:sz w:val="20"/>
              </w:rPr>
            </w:pPr>
            <w:r>
              <w:rPr>
                <w:sz w:val="20"/>
              </w:rPr>
              <w:t>ITEM 16.</w:t>
            </w:r>
          </w:p>
        </w:tc>
        <w:tc>
          <w:tcPr>
            <w:tcW w:w="8435" w:type="dxa"/>
            <w:tcBorders/>
            <w:vAlign w:val="center"/>
          </w:tcPr>
          <w:p>
            <w:pPr>
              <w:pStyle w:val="TableContents"/>
              <w:bidi w:val="0"/>
              <w:spacing w:before="0" w:after="283"/>
              <w:jc w:val="left"/>
              <w:rPr/>
            </w:pPr>
            <w:hyperlink w:anchor="a_020">
              <w:r>
                <w:rPr>
                  <w:rStyle w:val="InternetLink"/>
                  <w:sz w:val="20"/>
                </w:rPr>
                <w:t>RESERVED</w:t>
              </w:r>
            </w:hyperlink>
          </w:p>
        </w:tc>
        <w:tc>
          <w:tcPr>
            <w:tcW w:w="410" w:type="dxa"/>
            <w:tcBorders/>
            <w:vAlign w:val="center"/>
          </w:tcPr>
          <w:p>
            <w:pPr>
              <w:pStyle w:val="TableContents"/>
              <w:bidi w:val="0"/>
              <w:spacing w:before="0" w:after="283"/>
              <w:jc w:val="center"/>
              <w:rPr>
                <w:sz w:val="20"/>
              </w:rPr>
            </w:pPr>
            <w:r>
              <w:rPr>
                <w:sz w:val="20"/>
              </w:rPr>
              <w:t>107</w:t>
            </w:r>
          </w:p>
        </w:tc>
      </w:tr>
      <w:tr>
        <w:trPr/>
        <w:tc>
          <w:tcPr>
            <w:tcW w:w="980" w:type="dxa"/>
            <w:tcBorders/>
            <w:shd w:fill="CCEEFF" w:val="clear"/>
            <w:vAlign w:val="center"/>
          </w:tcPr>
          <w:p>
            <w:pPr>
              <w:pStyle w:val="TableContents"/>
              <w:bidi w:val="0"/>
              <w:spacing w:before="0" w:after="283"/>
              <w:jc w:val="left"/>
              <w:rPr>
                <w:sz w:val="20"/>
              </w:rPr>
            </w:pPr>
            <w:r>
              <w:rPr>
                <w:sz w:val="20"/>
              </w:rPr>
              <w:t>ITEM 16A.</w:t>
            </w:r>
          </w:p>
        </w:tc>
        <w:tc>
          <w:tcPr>
            <w:tcW w:w="8435" w:type="dxa"/>
            <w:tcBorders/>
            <w:shd w:fill="CCEEFF" w:val="clear"/>
            <w:vAlign w:val="center"/>
          </w:tcPr>
          <w:p>
            <w:pPr>
              <w:pStyle w:val="TableContents"/>
              <w:bidi w:val="0"/>
              <w:spacing w:before="0" w:after="283"/>
              <w:jc w:val="left"/>
              <w:rPr/>
            </w:pPr>
            <w:hyperlink w:anchor="a_021">
              <w:r>
                <w:rPr>
                  <w:rStyle w:val="InternetLink"/>
                  <w:sz w:val="20"/>
                </w:rPr>
                <w:t>AUDIT COMMITTEE FINANCIAL EXPERT</w:t>
              </w:r>
            </w:hyperlink>
          </w:p>
        </w:tc>
        <w:tc>
          <w:tcPr>
            <w:tcW w:w="410" w:type="dxa"/>
            <w:tcBorders/>
            <w:shd w:fill="CCEEFF" w:val="clear"/>
            <w:vAlign w:val="center"/>
          </w:tcPr>
          <w:p>
            <w:pPr>
              <w:pStyle w:val="TableContents"/>
              <w:bidi w:val="0"/>
              <w:spacing w:before="0" w:after="283"/>
              <w:jc w:val="center"/>
              <w:rPr>
                <w:sz w:val="20"/>
              </w:rPr>
            </w:pPr>
            <w:r>
              <w:rPr>
                <w:sz w:val="20"/>
              </w:rPr>
              <w:t>107</w:t>
            </w:r>
          </w:p>
        </w:tc>
      </w:tr>
      <w:tr>
        <w:trPr/>
        <w:tc>
          <w:tcPr>
            <w:tcW w:w="980" w:type="dxa"/>
            <w:tcBorders/>
            <w:vAlign w:val="center"/>
          </w:tcPr>
          <w:p>
            <w:pPr>
              <w:pStyle w:val="TableContents"/>
              <w:bidi w:val="0"/>
              <w:spacing w:before="0" w:after="283"/>
              <w:jc w:val="left"/>
              <w:rPr>
                <w:sz w:val="20"/>
              </w:rPr>
            </w:pPr>
            <w:r>
              <w:rPr>
                <w:sz w:val="20"/>
              </w:rPr>
              <w:t>ITEM 16B.</w:t>
            </w:r>
          </w:p>
        </w:tc>
        <w:tc>
          <w:tcPr>
            <w:tcW w:w="8435" w:type="dxa"/>
            <w:tcBorders/>
            <w:vAlign w:val="center"/>
          </w:tcPr>
          <w:p>
            <w:pPr>
              <w:pStyle w:val="TableContents"/>
              <w:bidi w:val="0"/>
              <w:spacing w:before="0" w:after="283"/>
              <w:jc w:val="left"/>
              <w:rPr/>
            </w:pPr>
            <w:hyperlink w:anchor="a_022">
              <w:r>
                <w:rPr>
                  <w:rStyle w:val="InternetLink"/>
                  <w:sz w:val="20"/>
                </w:rPr>
                <w:t>CODE OF ETHICS</w:t>
              </w:r>
            </w:hyperlink>
          </w:p>
        </w:tc>
        <w:tc>
          <w:tcPr>
            <w:tcW w:w="410" w:type="dxa"/>
            <w:tcBorders/>
            <w:vAlign w:val="center"/>
          </w:tcPr>
          <w:p>
            <w:pPr>
              <w:pStyle w:val="TableContents"/>
              <w:bidi w:val="0"/>
              <w:spacing w:before="0" w:after="283"/>
              <w:jc w:val="center"/>
              <w:rPr>
                <w:sz w:val="20"/>
              </w:rPr>
            </w:pPr>
            <w:r>
              <w:rPr>
                <w:sz w:val="20"/>
              </w:rPr>
              <w:t>107</w:t>
            </w:r>
          </w:p>
        </w:tc>
      </w:tr>
      <w:tr>
        <w:trPr/>
        <w:tc>
          <w:tcPr>
            <w:tcW w:w="980" w:type="dxa"/>
            <w:tcBorders/>
            <w:shd w:fill="CCEEFF" w:val="clear"/>
            <w:vAlign w:val="center"/>
          </w:tcPr>
          <w:p>
            <w:pPr>
              <w:pStyle w:val="TableContents"/>
              <w:bidi w:val="0"/>
              <w:spacing w:before="0" w:after="283"/>
              <w:jc w:val="left"/>
              <w:rPr>
                <w:sz w:val="20"/>
              </w:rPr>
            </w:pPr>
            <w:r>
              <w:rPr>
                <w:sz w:val="20"/>
              </w:rPr>
              <w:t>ITEM 16C.</w:t>
            </w:r>
          </w:p>
        </w:tc>
        <w:tc>
          <w:tcPr>
            <w:tcW w:w="8435" w:type="dxa"/>
            <w:tcBorders/>
            <w:shd w:fill="CCEEFF" w:val="clear"/>
            <w:vAlign w:val="center"/>
          </w:tcPr>
          <w:p>
            <w:pPr>
              <w:pStyle w:val="TableContents"/>
              <w:bidi w:val="0"/>
              <w:spacing w:before="0" w:after="283"/>
              <w:jc w:val="left"/>
              <w:rPr/>
            </w:pPr>
            <w:hyperlink w:anchor="a_023">
              <w:r>
                <w:rPr>
                  <w:rStyle w:val="InternetLink"/>
                  <w:sz w:val="20"/>
                </w:rPr>
                <w:t>PRINCIPAL ACCOUNTANT FEES AND SERVICES</w:t>
              </w:r>
            </w:hyperlink>
          </w:p>
        </w:tc>
        <w:tc>
          <w:tcPr>
            <w:tcW w:w="410" w:type="dxa"/>
            <w:tcBorders/>
            <w:shd w:fill="CCEEFF" w:val="clear"/>
            <w:vAlign w:val="center"/>
          </w:tcPr>
          <w:p>
            <w:pPr>
              <w:pStyle w:val="TableContents"/>
              <w:bidi w:val="0"/>
              <w:spacing w:before="0" w:after="283"/>
              <w:jc w:val="center"/>
              <w:rPr>
                <w:sz w:val="20"/>
              </w:rPr>
            </w:pPr>
            <w:r>
              <w:rPr>
                <w:sz w:val="20"/>
              </w:rPr>
              <w:t>107</w:t>
            </w:r>
          </w:p>
        </w:tc>
      </w:tr>
      <w:tr>
        <w:trPr/>
        <w:tc>
          <w:tcPr>
            <w:tcW w:w="980" w:type="dxa"/>
            <w:tcBorders/>
            <w:vAlign w:val="center"/>
          </w:tcPr>
          <w:p>
            <w:pPr>
              <w:pStyle w:val="TableContents"/>
              <w:bidi w:val="0"/>
              <w:spacing w:before="0" w:after="283"/>
              <w:jc w:val="left"/>
              <w:rPr>
                <w:sz w:val="20"/>
              </w:rPr>
            </w:pPr>
            <w:r>
              <w:rPr>
                <w:sz w:val="20"/>
              </w:rPr>
              <w:t>ITEM 16D.</w:t>
            </w:r>
          </w:p>
        </w:tc>
        <w:tc>
          <w:tcPr>
            <w:tcW w:w="8435" w:type="dxa"/>
            <w:tcBorders/>
            <w:vAlign w:val="center"/>
          </w:tcPr>
          <w:p>
            <w:pPr>
              <w:pStyle w:val="TableContents"/>
              <w:bidi w:val="0"/>
              <w:spacing w:before="0" w:after="283"/>
              <w:jc w:val="left"/>
              <w:rPr/>
            </w:pPr>
            <w:hyperlink w:anchor="a_024">
              <w:r>
                <w:rPr>
                  <w:rStyle w:val="InternetLink"/>
                  <w:sz w:val="20"/>
                </w:rPr>
                <w:t>EXEMPTIONS FROM THE LISTING STANDARDS FOR AUDIT COMMITTEES</w:t>
              </w:r>
            </w:hyperlink>
          </w:p>
        </w:tc>
        <w:tc>
          <w:tcPr>
            <w:tcW w:w="410" w:type="dxa"/>
            <w:tcBorders/>
            <w:vAlign w:val="center"/>
          </w:tcPr>
          <w:p>
            <w:pPr>
              <w:pStyle w:val="TableContents"/>
              <w:bidi w:val="0"/>
              <w:spacing w:before="0" w:after="283"/>
              <w:jc w:val="center"/>
              <w:rPr>
                <w:sz w:val="20"/>
              </w:rPr>
            </w:pPr>
            <w:r>
              <w:rPr>
                <w:sz w:val="20"/>
              </w:rPr>
              <w:t>107</w:t>
            </w:r>
          </w:p>
        </w:tc>
      </w:tr>
      <w:tr>
        <w:trPr/>
        <w:tc>
          <w:tcPr>
            <w:tcW w:w="980" w:type="dxa"/>
            <w:tcBorders/>
            <w:shd w:fill="CCEEFF" w:val="clear"/>
            <w:vAlign w:val="center"/>
          </w:tcPr>
          <w:p>
            <w:pPr>
              <w:pStyle w:val="TableContents"/>
              <w:bidi w:val="0"/>
              <w:spacing w:before="0" w:after="283"/>
              <w:jc w:val="left"/>
              <w:rPr>
                <w:sz w:val="20"/>
              </w:rPr>
            </w:pPr>
            <w:r>
              <w:rPr>
                <w:sz w:val="20"/>
              </w:rPr>
              <w:t>ITEM 16E.</w:t>
            </w:r>
          </w:p>
        </w:tc>
        <w:tc>
          <w:tcPr>
            <w:tcW w:w="8435" w:type="dxa"/>
            <w:tcBorders/>
            <w:shd w:fill="CCEEFF" w:val="clear"/>
            <w:vAlign w:val="center"/>
          </w:tcPr>
          <w:p>
            <w:pPr>
              <w:pStyle w:val="TableContents"/>
              <w:bidi w:val="0"/>
              <w:spacing w:before="0" w:after="283"/>
              <w:jc w:val="left"/>
              <w:rPr/>
            </w:pPr>
            <w:hyperlink w:anchor="a_025">
              <w:r>
                <w:rPr>
                  <w:rStyle w:val="InternetLink"/>
                  <w:sz w:val="20"/>
                </w:rPr>
                <w:t>PURCHASES OF EQUITY SECURITIES BY THE ISSUER AND AFFILIATED PURCHASERS</w:t>
              </w:r>
            </w:hyperlink>
          </w:p>
        </w:tc>
        <w:tc>
          <w:tcPr>
            <w:tcW w:w="410" w:type="dxa"/>
            <w:tcBorders/>
            <w:shd w:fill="CCEEFF" w:val="clear"/>
            <w:vAlign w:val="center"/>
          </w:tcPr>
          <w:p>
            <w:pPr>
              <w:pStyle w:val="TableContents"/>
              <w:bidi w:val="0"/>
              <w:spacing w:before="0" w:after="283"/>
              <w:jc w:val="center"/>
              <w:rPr>
                <w:sz w:val="20"/>
              </w:rPr>
            </w:pPr>
            <w:r>
              <w:rPr>
                <w:sz w:val="20"/>
              </w:rPr>
              <w:t>107</w:t>
            </w:r>
          </w:p>
        </w:tc>
      </w:tr>
      <w:tr>
        <w:trPr/>
        <w:tc>
          <w:tcPr>
            <w:tcW w:w="980" w:type="dxa"/>
            <w:tcBorders/>
            <w:vAlign w:val="center"/>
          </w:tcPr>
          <w:p>
            <w:pPr>
              <w:pStyle w:val="TableContents"/>
              <w:bidi w:val="0"/>
              <w:spacing w:before="0" w:after="283"/>
              <w:jc w:val="left"/>
              <w:rPr>
                <w:sz w:val="20"/>
              </w:rPr>
            </w:pPr>
            <w:r>
              <w:rPr>
                <w:sz w:val="20"/>
              </w:rPr>
              <w:t>ITEM 16F.</w:t>
            </w:r>
          </w:p>
        </w:tc>
        <w:tc>
          <w:tcPr>
            <w:tcW w:w="8435" w:type="dxa"/>
            <w:tcBorders/>
            <w:vAlign w:val="center"/>
          </w:tcPr>
          <w:p>
            <w:pPr>
              <w:pStyle w:val="TableContents"/>
              <w:bidi w:val="0"/>
              <w:spacing w:before="0" w:after="283"/>
              <w:jc w:val="left"/>
              <w:rPr/>
            </w:pPr>
            <w:hyperlink w:anchor="a_026">
              <w:r>
                <w:rPr>
                  <w:rStyle w:val="InternetLink"/>
                  <w:sz w:val="20"/>
                </w:rPr>
                <w:t>CHANGE IN REGISTRANT’S CERTIFYING ACCOUNTANT</w:t>
              </w:r>
            </w:hyperlink>
          </w:p>
        </w:tc>
        <w:tc>
          <w:tcPr>
            <w:tcW w:w="410" w:type="dxa"/>
            <w:tcBorders/>
            <w:vAlign w:val="center"/>
          </w:tcPr>
          <w:p>
            <w:pPr>
              <w:pStyle w:val="TableContents"/>
              <w:bidi w:val="0"/>
              <w:spacing w:before="0" w:after="283"/>
              <w:jc w:val="center"/>
              <w:rPr>
                <w:sz w:val="20"/>
              </w:rPr>
            </w:pPr>
            <w:r>
              <w:rPr>
                <w:sz w:val="20"/>
              </w:rPr>
              <w:t>108</w:t>
            </w:r>
          </w:p>
        </w:tc>
      </w:tr>
      <w:tr>
        <w:trPr/>
        <w:tc>
          <w:tcPr>
            <w:tcW w:w="980" w:type="dxa"/>
            <w:tcBorders/>
            <w:shd w:fill="CCEEFF" w:val="clear"/>
            <w:vAlign w:val="center"/>
          </w:tcPr>
          <w:p>
            <w:pPr>
              <w:pStyle w:val="TableContents"/>
              <w:bidi w:val="0"/>
              <w:spacing w:before="0" w:after="283"/>
              <w:jc w:val="left"/>
              <w:rPr>
                <w:sz w:val="20"/>
              </w:rPr>
            </w:pPr>
            <w:r>
              <w:rPr>
                <w:sz w:val="20"/>
              </w:rPr>
              <w:t>ITEM 16G.</w:t>
            </w:r>
          </w:p>
        </w:tc>
        <w:tc>
          <w:tcPr>
            <w:tcW w:w="8435" w:type="dxa"/>
            <w:tcBorders/>
            <w:shd w:fill="CCEEFF" w:val="clear"/>
            <w:vAlign w:val="center"/>
          </w:tcPr>
          <w:p>
            <w:pPr>
              <w:pStyle w:val="TableContents"/>
              <w:bidi w:val="0"/>
              <w:spacing w:before="0" w:after="283"/>
              <w:jc w:val="left"/>
              <w:rPr/>
            </w:pPr>
            <w:hyperlink w:anchor="a_027">
              <w:r>
                <w:rPr>
                  <w:rStyle w:val="InternetLink"/>
                  <w:sz w:val="20"/>
                </w:rPr>
                <w:t>CORPORATE GOVERNANCE</w:t>
              </w:r>
            </w:hyperlink>
          </w:p>
        </w:tc>
        <w:tc>
          <w:tcPr>
            <w:tcW w:w="410" w:type="dxa"/>
            <w:tcBorders/>
            <w:shd w:fill="CCEEFF" w:val="clear"/>
            <w:vAlign w:val="center"/>
          </w:tcPr>
          <w:p>
            <w:pPr>
              <w:pStyle w:val="TableContents"/>
              <w:bidi w:val="0"/>
              <w:spacing w:before="0" w:after="283"/>
              <w:jc w:val="center"/>
              <w:rPr>
                <w:sz w:val="20"/>
              </w:rPr>
            </w:pPr>
            <w:r>
              <w:rPr>
                <w:sz w:val="20"/>
              </w:rPr>
              <w:t>108</w:t>
            </w:r>
          </w:p>
        </w:tc>
      </w:tr>
      <w:tr>
        <w:trPr/>
        <w:tc>
          <w:tcPr>
            <w:tcW w:w="980" w:type="dxa"/>
            <w:tcBorders/>
            <w:vAlign w:val="center"/>
          </w:tcPr>
          <w:p>
            <w:pPr>
              <w:pStyle w:val="TableContents"/>
              <w:bidi w:val="0"/>
              <w:spacing w:before="0" w:after="283"/>
              <w:jc w:val="left"/>
              <w:rPr>
                <w:sz w:val="20"/>
              </w:rPr>
            </w:pPr>
            <w:r>
              <w:rPr>
                <w:sz w:val="20"/>
              </w:rPr>
              <w:t>ITEM 16H.</w:t>
            </w:r>
          </w:p>
        </w:tc>
        <w:tc>
          <w:tcPr>
            <w:tcW w:w="8435" w:type="dxa"/>
            <w:tcBorders/>
            <w:vAlign w:val="center"/>
          </w:tcPr>
          <w:p>
            <w:pPr>
              <w:pStyle w:val="TableContents"/>
              <w:bidi w:val="0"/>
              <w:spacing w:before="0" w:after="283"/>
              <w:jc w:val="left"/>
              <w:rPr/>
            </w:pPr>
            <w:hyperlink w:anchor="a_028">
              <w:r>
                <w:rPr>
                  <w:rStyle w:val="InternetLink"/>
                  <w:sz w:val="20"/>
                </w:rPr>
                <w:t>MINE SAFETY DISCLOSURE</w:t>
              </w:r>
            </w:hyperlink>
          </w:p>
        </w:tc>
        <w:tc>
          <w:tcPr>
            <w:tcW w:w="410" w:type="dxa"/>
            <w:tcBorders/>
            <w:vAlign w:val="center"/>
          </w:tcPr>
          <w:p>
            <w:pPr>
              <w:pStyle w:val="TableContents"/>
              <w:bidi w:val="0"/>
              <w:spacing w:before="0" w:after="283"/>
              <w:jc w:val="center"/>
              <w:rPr>
                <w:sz w:val="20"/>
              </w:rPr>
            </w:pPr>
            <w:r>
              <w:rPr>
                <w:sz w:val="20"/>
              </w:rPr>
              <w:t>108</w:t>
            </w:r>
          </w:p>
        </w:tc>
      </w:tr>
      <w:tr>
        <w:trPr/>
        <w:tc>
          <w:tcPr>
            <w:tcW w:w="980" w:type="dxa"/>
            <w:tcBorders/>
            <w:shd w:fill="CCEEFF" w:val="clear"/>
            <w:vAlign w:val="center"/>
          </w:tcPr>
          <w:p>
            <w:pPr>
              <w:pStyle w:val="TableContents"/>
              <w:bidi w:val="0"/>
              <w:spacing w:before="0" w:after="283"/>
              <w:jc w:val="left"/>
              <w:rPr>
                <w:sz w:val="20"/>
              </w:rPr>
            </w:pPr>
            <w:r>
              <w:rPr>
                <w:sz w:val="20"/>
              </w:rPr>
              <w:t>ITEM 16I.</w:t>
            </w:r>
          </w:p>
        </w:tc>
        <w:tc>
          <w:tcPr>
            <w:tcW w:w="8435" w:type="dxa"/>
            <w:tcBorders/>
            <w:shd w:fill="CCEEFF" w:val="clear"/>
            <w:vAlign w:val="center"/>
          </w:tcPr>
          <w:p>
            <w:pPr>
              <w:pStyle w:val="TableContents"/>
              <w:bidi w:val="0"/>
              <w:spacing w:before="0" w:after="283"/>
              <w:jc w:val="left"/>
              <w:rPr/>
            </w:pPr>
            <w:hyperlink w:anchor="a_029">
              <w:r>
                <w:rPr>
                  <w:rStyle w:val="InternetLink"/>
                  <w:sz w:val="20"/>
                </w:rPr>
                <w:t>DISCLOSURE REGARDING FOREIGN JURISDICTIONS THAT PREVENT INSPECTIONS</w:t>
              </w:r>
            </w:hyperlink>
          </w:p>
        </w:tc>
        <w:tc>
          <w:tcPr>
            <w:tcW w:w="410" w:type="dxa"/>
            <w:tcBorders/>
            <w:shd w:fill="CCEEFF" w:val="clear"/>
            <w:vAlign w:val="center"/>
          </w:tcPr>
          <w:p>
            <w:pPr>
              <w:pStyle w:val="TableContents"/>
              <w:bidi w:val="0"/>
              <w:spacing w:before="0" w:after="283"/>
              <w:jc w:val="center"/>
              <w:rPr>
                <w:sz w:val="20"/>
              </w:rPr>
            </w:pPr>
            <w:r>
              <w:rPr>
                <w:sz w:val="20"/>
              </w:rPr>
              <w:t>108</w:t>
            </w:r>
          </w:p>
        </w:tc>
      </w:tr>
      <w:tr>
        <w:trPr/>
        <w:tc>
          <w:tcPr>
            <w:tcW w:w="980" w:type="dxa"/>
            <w:tcBorders/>
            <w:vAlign w:val="center"/>
          </w:tcPr>
          <w:p>
            <w:pPr>
              <w:pStyle w:val="TableContents"/>
              <w:bidi w:val="0"/>
              <w:spacing w:before="0" w:after="283"/>
              <w:jc w:val="left"/>
              <w:rPr>
                <w:sz w:val="20"/>
              </w:rPr>
            </w:pPr>
            <w:r>
              <w:rPr>
                <w:sz w:val="20"/>
              </w:rPr>
              <w:t>ITEM 16J.</w:t>
            </w:r>
          </w:p>
        </w:tc>
        <w:tc>
          <w:tcPr>
            <w:tcW w:w="8435" w:type="dxa"/>
            <w:tcBorders/>
            <w:vAlign w:val="center"/>
          </w:tcPr>
          <w:p>
            <w:pPr>
              <w:pStyle w:val="TableContents"/>
              <w:bidi w:val="0"/>
              <w:spacing w:before="0" w:after="283"/>
              <w:jc w:val="left"/>
              <w:rPr/>
            </w:pPr>
            <w:hyperlink w:anchor="a_030">
              <w:r>
                <w:rPr>
                  <w:rStyle w:val="InternetLink"/>
                  <w:sz w:val="20"/>
                </w:rPr>
                <w:t>INSIDER TRADING POLICIES</w:t>
              </w:r>
            </w:hyperlink>
          </w:p>
        </w:tc>
        <w:tc>
          <w:tcPr>
            <w:tcW w:w="410" w:type="dxa"/>
            <w:tcBorders/>
            <w:vAlign w:val="center"/>
          </w:tcPr>
          <w:p>
            <w:pPr>
              <w:pStyle w:val="TableContents"/>
              <w:bidi w:val="0"/>
              <w:spacing w:before="0" w:after="283"/>
              <w:jc w:val="center"/>
              <w:rPr>
                <w:sz w:val="20"/>
              </w:rPr>
            </w:pPr>
            <w:r>
              <w:rPr>
                <w:sz w:val="20"/>
              </w:rPr>
              <w:t>109</w:t>
            </w:r>
          </w:p>
        </w:tc>
      </w:tr>
      <w:tr>
        <w:trPr/>
        <w:tc>
          <w:tcPr>
            <w:tcW w:w="980" w:type="dxa"/>
            <w:tcBorders/>
            <w:shd w:fill="CCEEFF" w:val="clear"/>
            <w:vAlign w:val="center"/>
          </w:tcPr>
          <w:p>
            <w:pPr>
              <w:pStyle w:val="TableContents"/>
              <w:bidi w:val="0"/>
              <w:spacing w:before="0" w:after="283"/>
              <w:jc w:val="left"/>
              <w:rPr>
                <w:sz w:val="20"/>
              </w:rPr>
            </w:pPr>
            <w:r>
              <w:rPr>
                <w:sz w:val="20"/>
              </w:rPr>
              <w:t>ITEM 16K.</w:t>
            </w:r>
          </w:p>
        </w:tc>
        <w:tc>
          <w:tcPr>
            <w:tcW w:w="8435" w:type="dxa"/>
            <w:tcBorders/>
            <w:shd w:fill="CCEEFF" w:val="clear"/>
            <w:vAlign w:val="center"/>
          </w:tcPr>
          <w:p>
            <w:pPr>
              <w:pStyle w:val="TableContents"/>
              <w:bidi w:val="0"/>
              <w:spacing w:before="0" w:after="283"/>
              <w:jc w:val="left"/>
              <w:rPr/>
            </w:pPr>
            <w:hyperlink w:anchor="a_031">
              <w:r>
                <w:rPr>
                  <w:rStyle w:val="InternetLink"/>
                  <w:sz w:val="20"/>
                </w:rPr>
                <w:t>CYBERSECURITY</w:t>
              </w:r>
            </w:hyperlink>
          </w:p>
        </w:tc>
        <w:tc>
          <w:tcPr>
            <w:tcW w:w="410" w:type="dxa"/>
            <w:tcBorders/>
            <w:shd w:fill="CCEEFF" w:val="clear"/>
            <w:vAlign w:val="center"/>
          </w:tcPr>
          <w:p>
            <w:pPr>
              <w:pStyle w:val="TableContents"/>
              <w:bidi w:val="0"/>
              <w:spacing w:before="0" w:after="283"/>
              <w:jc w:val="center"/>
              <w:rPr>
                <w:sz w:val="20"/>
              </w:rPr>
            </w:pPr>
            <w:r>
              <w:rPr>
                <w:sz w:val="20"/>
              </w:rPr>
              <w:t>109</w:t>
            </w:r>
          </w:p>
        </w:tc>
      </w:tr>
      <w:tr>
        <w:trPr/>
        <w:tc>
          <w:tcPr>
            <w:tcW w:w="9415" w:type="dxa"/>
            <w:gridSpan w:val="2"/>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415" w:type="dxa"/>
            <w:gridSpan w:val="2"/>
            <w:tcBorders/>
            <w:shd w:fill="CCEEFF" w:val="clear"/>
            <w:vAlign w:val="center"/>
          </w:tcPr>
          <w:p>
            <w:pPr>
              <w:pStyle w:val="TableContents"/>
              <w:bidi w:val="0"/>
              <w:spacing w:before="0" w:after="283"/>
              <w:jc w:val="left"/>
              <w:rPr/>
            </w:pPr>
            <w:hyperlink w:anchor="a_032">
              <w:r>
                <w:rPr>
                  <w:rStyle w:val="InternetLink"/>
                  <w:sz w:val="20"/>
                </w:rPr>
                <w:t>PART III</w:t>
              </w:r>
            </w:hyperlink>
          </w:p>
        </w:tc>
        <w:tc>
          <w:tcPr>
            <w:tcW w:w="410" w:type="dxa"/>
            <w:tcBorders/>
            <w:shd w:fill="CCEEFF" w:val="clear"/>
            <w:vAlign w:val="center"/>
          </w:tcPr>
          <w:p>
            <w:pPr>
              <w:pStyle w:val="TableContents"/>
              <w:bidi w:val="0"/>
              <w:spacing w:before="0" w:after="283"/>
              <w:jc w:val="center"/>
              <w:rPr/>
            </w:pPr>
            <w:r>
              <w:rPr/>
              <w:t> </w:t>
            </w:r>
          </w:p>
        </w:tc>
      </w:tr>
      <w:tr>
        <w:trPr/>
        <w:tc>
          <w:tcPr>
            <w:tcW w:w="98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sz w:val="20"/>
              </w:rPr>
            </w:pPr>
            <w:r>
              <w:rPr>
                <w:sz w:val="20"/>
              </w:rPr>
              <w:t>ITEM 17.</w:t>
            </w:r>
          </w:p>
        </w:tc>
        <w:tc>
          <w:tcPr>
            <w:tcW w:w="8435" w:type="dxa"/>
            <w:tcBorders/>
            <w:shd w:fill="CCEEFF" w:val="clear"/>
            <w:vAlign w:val="center"/>
          </w:tcPr>
          <w:p>
            <w:pPr>
              <w:pStyle w:val="TableContents"/>
              <w:bidi w:val="0"/>
              <w:spacing w:before="0" w:after="283"/>
              <w:jc w:val="left"/>
              <w:rPr/>
            </w:pPr>
            <w:hyperlink w:anchor="a_033">
              <w:r>
                <w:rPr>
                  <w:rStyle w:val="InternetLink"/>
                  <w:sz w:val="20"/>
                </w:rPr>
                <w:t>FINANCIAL STATEMENTS</w:t>
              </w:r>
            </w:hyperlink>
          </w:p>
        </w:tc>
        <w:tc>
          <w:tcPr>
            <w:tcW w:w="410" w:type="dxa"/>
            <w:tcBorders/>
            <w:shd w:fill="CCEEFF" w:val="clear"/>
            <w:vAlign w:val="center"/>
          </w:tcPr>
          <w:p>
            <w:pPr>
              <w:pStyle w:val="TableContents"/>
              <w:bidi w:val="0"/>
              <w:spacing w:before="0" w:after="283"/>
              <w:jc w:val="center"/>
              <w:rPr>
                <w:sz w:val="20"/>
              </w:rPr>
            </w:pPr>
            <w:r>
              <w:rPr>
                <w:sz w:val="20"/>
              </w:rPr>
              <w:t>110</w:t>
            </w:r>
          </w:p>
        </w:tc>
      </w:tr>
      <w:tr>
        <w:trPr/>
        <w:tc>
          <w:tcPr>
            <w:tcW w:w="980" w:type="dxa"/>
            <w:tcBorders/>
            <w:vAlign w:val="center"/>
          </w:tcPr>
          <w:p>
            <w:pPr>
              <w:pStyle w:val="TableContents"/>
              <w:bidi w:val="0"/>
              <w:spacing w:before="0" w:after="283"/>
              <w:jc w:val="left"/>
              <w:rPr>
                <w:sz w:val="20"/>
              </w:rPr>
            </w:pPr>
            <w:r>
              <w:rPr>
                <w:sz w:val="20"/>
              </w:rPr>
              <w:t>ITEM 18.</w:t>
            </w:r>
          </w:p>
        </w:tc>
        <w:tc>
          <w:tcPr>
            <w:tcW w:w="8435" w:type="dxa"/>
            <w:tcBorders/>
            <w:vAlign w:val="center"/>
          </w:tcPr>
          <w:p>
            <w:pPr>
              <w:pStyle w:val="TableContents"/>
              <w:bidi w:val="0"/>
              <w:spacing w:before="0" w:after="283"/>
              <w:jc w:val="left"/>
              <w:rPr/>
            </w:pPr>
            <w:hyperlink w:anchor="a_034">
              <w:r>
                <w:rPr>
                  <w:rStyle w:val="InternetLink"/>
                  <w:sz w:val="20"/>
                </w:rPr>
                <w:t>FINANCIAL STATEMENTS</w:t>
              </w:r>
            </w:hyperlink>
          </w:p>
        </w:tc>
        <w:tc>
          <w:tcPr>
            <w:tcW w:w="410" w:type="dxa"/>
            <w:tcBorders/>
            <w:vAlign w:val="center"/>
          </w:tcPr>
          <w:p>
            <w:pPr>
              <w:pStyle w:val="TableContents"/>
              <w:bidi w:val="0"/>
              <w:spacing w:before="0" w:after="283"/>
              <w:jc w:val="center"/>
              <w:rPr>
                <w:sz w:val="20"/>
              </w:rPr>
            </w:pPr>
            <w:r>
              <w:rPr>
                <w:sz w:val="20"/>
              </w:rPr>
              <w:t>110</w:t>
            </w:r>
          </w:p>
        </w:tc>
      </w:tr>
      <w:tr>
        <w:trPr/>
        <w:tc>
          <w:tcPr>
            <w:tcW w:w="980" w:type="dxa"/>
            <w:tcBorders/>
            <w:shd w:fill="CCEEFF" w:val="clear"/>
            <w:vAlign w:val="center"/>
          </w:tcPr>
          <w:p>
            <w:pPr>
              <w:pStyle w:val="TableContents"/>
              <w:bidi w:val="0"/>
              <w:spacing w:before="0" w:after="283"/>
              <w:jc w:val="left"/>
              <w:rPr>
                <w:sz w:val="20"/>
              </w:rPr>
            </w:pPr>
            <w:r>
              <w:rPr>
                <w:sz w:val="20"/>
              </w:rPr>
              <w:t>ITEM 19.</w:t>
            </w:r>
          </w:p>
        </w:tc>
        <w:tc>
          <w:tcPr>
            <w:tcW w:w="8435" w:type="dxa"/>
            <w:tcBorders/>
            <w:shd w:fill="CCEEFF" w:val="clear"/>
            <w:vAlign w:val="center"/>
          </w:tcPr>
          <w:p>
            <w:pPr>
              <w:pStyle w:val="TableContents"/>
              <w:bidi w:val="0"/>
              <w:spacing w:before="0" w:after="283"/>
              <w:jc w:val="left"/>
              <w:rPr/>
            </w:pPr>
            <w:hyperlink w:anchor="a_035">
              <w:r>
                <w:rPr>
                  <w:rStyle w:val="InternetLink"/>
                  <w:sz w:val="20"/>
                </w:rPr>
                <w:t>EXHIBITS</w:t>
              </w:r>
            </w:hyperlink>
          </w:p>
        </w:tc>
        <w:tc>
          <w:tcPr>
            <w:tcW w:w="410" w:type="dxa"/>
            <w:tcBorders/>
            <w:shd w:fill="CCEEFF" w:val="clear"/>
            <w:vAlign w:val="center"/>
          </w:tcPr>
          <w:p>
            <w:pPr>
              <w:pStyle w:val="TableContents"/>
              <w:bidi w:val="0"/>
              <w:spacing w:before="0" w:after="283"/>
              <w:jc w:val="center"/>
              <w:rPr>
                <w:sz w:val="20"/>
              </w:rPr>
            </w:pPr>
            <w:r>
              <w:rPr>
                <w:sz w:val="20"/>
              </w:rPr>
              <w:t>110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unless the context otherwise requires, references to:</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68"/>
        <w:gridCol w:w="200"/>
        <w:gridCol w:w="34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pPr>
            <w:r>
              <w:rPr/>
              <w:t>“</w:t>
            </w:r>
            <w:r>
              <w:rPr>
                <w:sz w:val="20"/>
              </w:rPr>
              <w:t>BVI” are to the “British Virgin Islands”;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CCSC Group” are to our direct wholly-owned subsidiary, CCSC Group Limited, an exempted company with limited liability incorporated under the laws of the BVI;</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CCSC Interconnect DG” are to CCSC Technology Group’s wholly-owned subsidiary, Dongguan CCSC Interconnect Electronic Technology Limited, a company organized under the laws of the PRC;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CCSC Interconnect HK” are to CCSC Technology Group’s wholly-owned subsidiary, CCSC Interconnect Technology Limited, a limited liability company incorporated under the laws of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CCSC Interconnect NL” are to CCSC Technology Group’s wholly-owned subsidiary, CCSC Interconnect Technology Europe B.V., a private limited liability company organized under the laws of the Netherlands;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CCSC Technology Group” are to CCSC Group’s direct wholly-owned subsidiary, CCSC Technology Group Limited, a limited liability company incorporated under the laws of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CCSC Technology Serbia” are to CCSC Group’s direct wholly-owned subsidiary, CCSC Technology Doo Beograd, a limited liability company incorporated under the laws of Serbia;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China” or the “PRC” are to the People’s Republic of China, including Taiwan, the special administrative regions of Hong Kong and Macau for the purposes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68"/>
        <w:gridCol w:w="200"/>
        <w:gridCol w:w="8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pPr>
            <w:r>
              <w:rPr/>
              <w:t>“</w:t>
            </w:r>
            <w:r>
              <w:rPr>
                <w:sz w:val="20"/>
              </w:rPr>
              <w:t>Class A Ordinary Shares” are to the Class A ordinary shares, par value US$0.005 per share,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68"/>
        <w:gridCol w:w="200"/>
        <w:gridCol w:w="8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pPr>
            <w:r>
              <w:rPr/>
              <w:t>“</w:t>
            </w:r>
            <w:r>
              <w:rPr>
                <w:sz w:val="20"/>
              </w:rPr>
              <w:t>Class B Ordinary Shares” are to the Class B ordinary shares, par value US$0.005 per share,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HK” are to Hong Kong, which is a special administrative region of the PRC authorized to exercise a high degree of autonomy and enjoy executive, legislative and independent judicial power, under the principle of “one country, two systems”;</w:t>
            </w:r>
          </w:p>
        </w:tc>
      </w:tr>
    </w:tbl>
    <w:p>
      <w:pPr>
        <w:pStyle w:val="TextBody"/>
        <w:bidi w:val="0"/>
        <w:spacing w:before="0" w:after="0"/>
        <w:ind w:left="0" w:right="0" w:hanging="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68"/>
        <w:gridCol w:w="200"/>
        <w:gridCol w:w="3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pPr>
            <w:r>
              <w:rPr/>
              <w:t>“</w:t>
            </w:r>
            <w:r>
              <w:rPr>
                <w:sz w:val="20"/>
              </w:rPr>
              <w:t>HK$” are to the legal currency of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mainland China” are to the mainland China of the PRC, excluding Taiwan, the special administrative regions of Hong Kong and Macau for the purposes of this annual report only;</w:t>
            </w:r>
          </w:p>
        </w:tc>
      </w:tr>
    </w:tbl>
    <w:p>
      <w:pPr>
        <w:pStyle w:val="TextBody"/>
        <w:bidi w:val="0"/>
        <w:spacing w:before="0" w:after="0"/>
        <w:ind w:left="0" w:right="0" w:hanging="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68"/>
        <w:gridCol w:w="200"/>
        <w:gridCol w:w="77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both"/>
              <w:rPr/>
            </w:pPr>
            <w:r>
              <w:rPr/>
              <w:t>“</w:t>
            </w:r>
            <w:r>
              <w:rPr>
                <w:sz w:val="20"/>
              </w:rPr>
              <w:t>New M&amp;A” are to our second amended and restated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Operating Subsidiaries” are to Dongguan CCSC Interconnect Electronic Technology Limited, CCSC Technology Group Limited, CCSC Interconnect Technology Limited, CCSC Interconnect Technology Europe B.V., and CCSC Technology Doo Beograd, collectively;</w:t>
            </w:r>
          </w:p>
        </w:tc>
      </w:tr>
    </w:tbl>
    <w:p>
      <w:pPr>
        <w:pStyle w:val="TextBody"/>
        <w:bidi w:val="0"/>
        <w:spacing w:before="0" w:after="0"/>
        <w:ind w:left="0" w:right="0" w:hanging="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68"/>
        <w:gridCol w:w="200"/>
        <w:gridCol w:w="8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pPr>
            <w:r>
              <w:rPr/>
              <w:t>“</w:t>
            </w:r>
            <w:r>
              <w:rPr>
                <w:sz w:val="20"/>
              </w:rPr>
              <w:t>Ordinary Shares” are to our Class A Ordinary Shares and our Class B Ordinary Shares, collectively;</w:t>
            </w:r>
          </w:p>
        </w:tc>
      </w:tr>
    </w:tbl>
    <w:p>
      <w:pPr>
        <w:pStyle w:val="TextBody"/>
        <w:bidi w:val="0"/>
        <w:spacing w:before="0" w:after="0"/>
        <w:ind w:left="0" w:right="0" w:hanging="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68"/>
        <w:gridCol w:w="200"/>
        <w:gridCol w:w="42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pPr>
            <w:r>
              <w:rPr/>
              <w:t>“</w:t>
            </w:r>
            <w:r>
              <w:rPr>
                <w:sz w:val="20"/>
              </w:rPr>
              <w:t>our PRC subsidiary” is to CCSC Interconnect DG;</w:t>
            </w:r>
          </w:p>
        </w:tc>
      </w:tr>
    </w:tbl>
    <w:p>
      <w:pPr>
        <w:pStyle w:val="TextBody"/>
        <w:bidi w:val="0"/>
        <w:spacing w:before="0" w:after="0"/>
        <w:ind w:left="0" w:right="0" w:hanging="0"/>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68"/>
        <w:gridCol w:w="200"/>
        <w:gridCol w:w="77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pPr>
            <w:r>
              <w:rPr/>
              <w:t>“</w:t>
            </w:r>
            <w:r>
              <w:rPr>
                <w:sz w:val="20"/>
              </w:rPr>
              <w:t>PRC laws and regulations” or “PRC laws” are to the laws and regulations of mainland China;</w:t>
            </w:r>
          </w:p>
        </w:tc>
      </w:tr>
    </w:tbl>
    <w:p>
      <w:pPr>
        <w:pStyle w:val="TextBody"/>
        <w:bidi w:val="0"/>
        <w:spacing w:before="0" w:after="0"/>
        <w:ind w:left="0" w:right="0" w:hanging="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68"/>
        <w:gridCol w:w="200"/>
        <w:gridCol w:w="54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both"/>
              <w:rPr/>
            </w:pPr>
            <w:r>
              <w:rPr/>
              <w:t>“</w:t>
            </w:r>
            <w:r>
              <w:rPr>
                <w:sz w:val="20"/>
              </w:rPr>
              <w:t>RMB” are to Renminbi, the official currency of mainland China;</w:t>
            </w:r>
          </w:p>
        </w:tc>
      </w:tr>
    </w:tbl>
    <w:p>
      <w:pPr>
        <w:pStyle w:val="TextBody"/>
        <w:bidi w:val="0"/>
        <w:spacing w:before="0" w:after="0"/>
        <w:ind w:left="0" w:right="0" w:hanging="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68"/>
        <w:gridCol w:w="200"/>
        <w:gridCol w:w="4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pPr>
            <w:r>
              <w:rPr/>
              <w:t>“</w:t>
            </w:r>
            <w:r>
              <w:rPr>
                <w:sz w:val="20"/>
              </w:rPr>
              <w:t>SEC” are to the U.S.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68"/>
        <w:gridCol w:w="200"/>
        <w:gridCol w:w="3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pPr>
            <w:r>
              <w:rPr/>
              <w:t>“</w:t>
            </w:r>
            <w:r>
              <w:rPr>
                <w:sz w:val="20"/>
              </w:rPr>
              <w:t>Serbia” are to the Republic of Serbia;</w:t>
            </w:r>
          </w:p>
        </w:tc>
      </w:tr>
    </w:tbl>
    <w:p>
      <w:pPr>
        <w:pStyle w:val="TextBody"/>
        <w:bidi w:val="0"/>
        <w:spacing w:before="0" w:after="0"/>
        <w:ind w:left="0" w:right="0" w:hanging="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68"/>
        <w:gridCol w:w="200"/>
        <w:gridCol w:w="65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pPr>
            <w:r>
              <w:rPr/>
              <w:t>“</w:t>
            </w:r>
            <w:r>
              <w:rPr>
                <w:sz w:val="20"/>
              </w:rPr>
              <w:t>U.S. dollars,” “$,” and “US$” are to the legal currency of the United States;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sz w:val="20"/>
              </w:rPr>
              <w:t>we,” “us,” “the Company”, “our”, “our company”, or “CCSC Cayman” are to CCSC Technology International Holdings Limited, an exempted company with limited liability incorporated under the laws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material operations of our own. We are a holding company with operations conducted in Hong Kong through the Operating Subsidiaries using Hong Kong dollars, the currency of Hong Kong. The Operating Subsidiaries reporting currency is in Hong Kong dollars. This annual report contains translations of certain foreign currency amounts into U.S. dollars. In this annual report, we refer to assets, obligations, commitments and liabilities in our consolidated financial statements in United States dollars or US$. These US$ references are based on the exchange rate of HK$ to US$, determined as of a specific date or for a specific period. Changes in the exchange rate will affect the amount of our obligations and the value of our assets in terms of US$ which may result in an increase or decrease in the amount of our obligations and the value of our assets, including accounts receivable. No representation is made that the HK$ amounts could have been, or could be, converted, realized or settled into US$ at such rate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estimates, projections and other information concerning our industry, our business and the markets for our products, including, but not limited to, our general expectations and market position, market opportunity and market size.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and general publications, government data and similar sources. While we are responsible for the accuracy of such information and believe our internal company research as to such matters is reliable and the market definitions are appropriate, neither such research nor these definitions have been verified by any independent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assumptions and estimates of our and our industry’s future performance are necessarily subject to a high degree of uncertainty and risk due to a variety of factors, including those described in the section titled “Item 3. Key Information-D. Risk Factors.” These and other factors could cause our future performance to differ materially from our assumptions and estimates. See “Special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within the meaning of Section 27A of the Securities Act of 1933, as amended (the “Securities Act”), and Section 21E of the Securities Exchange Act of 1934, as amended (the “Exchange Act”), relating to our operations, results of operations and other matters that are based on our current expectations, estimates, assumptions and projections. Statements regarding our future and projections relating to revenue, cost of sales, operating expenses, income (loss), and potential growth opportunities are typical of such statements. The forward-looking statements appear in a number of places, including, but not limited to, “Item 5. Operating and Financial Review and Prospects.”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terms or other comparable terminology intended to identify statements about the future. The forward-looking statements and opinions are based upon current expectations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included in this annual report relate to, among other things:</w:t>
      </w:r>
    </w:p>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68"/>
        <w:gridCol w:w="200"/>
        <w:gridCol w:w="20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sz w:val="20"/>
              </w:rPr>
            </w:pPr>
            <w:r>
              <w:rPr>
                <w:sz w:val="20"/>
              </w:rPr>
              <w:t>our goals and strategies;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our business and operating strategies and plans for the development of existing and new businesses, ability to implement such strategies and plans and expected time;</w:t>
            </w:r>
          </w:p>
        </w:tc>
      </w:tr>
    </w:tbl>
    <w:p>
      <w:pPr>
        <w:pStyle w:val="TextBody"/>
        <w:bidi w:val="0"/>
        <w:spacing w:before="0" w:after="0"/>
        <w:ind w:left="0" w:right="0" w:hanging="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68"/>
        <w:gridCol w:w="200"/>
        <w:gridCol w:w="64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sz w:val="20"/>
              </w:rPr>
            </w:pPr>
            <w:r>
              <w:rPr>
                <w:sz w:val="20"/>
              </w:rPr>
              <w:t>our future business development,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sz w:val="20"/>
              </w:rPr>
            </w:pPr>
            <w:r>
              <w:rPr>
                <w:sz w:val="20"/>
              </w:rPr>
              <w:t>expected changes in our revenues, costs or expenditures;</w:t>
            </w:r>
          </w:p>
        </w:tc>
      </w:tr>
    </w:tbl>
    <w:p>
      <w:pPr>
        <w:pStyle w:val="TextBody"/>
        <w:bidi w:val="0"/>
        <w:spacing w:before="0" w:after="0"/>
        <w:ind w:left="0" w:right="0" w:hanging="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68"/>
        <w:gridCol w:w="200"/>
        <w:gridCol w:w="17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sz w:val="20"/>
              </w:rPr>
            </w:pPr>
            <w:r>
              <w:rPr>
                <w:sz w:val="20"/>
              </w:rPr>
              <w:t>our dividend policy;</w:t>
            </w:r>
          </w:p>
        </w:tc>
      </w:tr>
    </w:tbl>
    <w:p>
      <w:pPr>
        <w:pStyle w:val="TextBody"/>
        <w:bidi w:val="0"/>
        <w:spacing w:before="0" w:after="0"/>
        <w:ind w:left="0" w:right="0" w:hanging="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68"/>
        <w:gridCol w:w="200"/>
        <w:gridCol w:w="74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sz w:val="20"/>
              </w:rPr>
            </w:pPr>
            <w:r>
              <w:rPr>
                <w:sz w:val="20"/>
              </w:rPr>
              <w:t>our expectations regarding demand for and market acceptance of our products and services;</w:t>
            </w:r>
          </w:p>
        </w:tc>
      </w:tr>
    </w:tbl>
    <w:p>
      <w:pPr>
        <w:pStyle w:val="TextBody"/>
        <w:bidi w:val="0"/>
        <w:spacing w:before="0" w:after="0"/>
        <w:ind w:left="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68"/>
        <w:gridCol w:w="200"/>
        <w:gridCol w:w="78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our expectations regarding our relationships with our clients, business partners and third-parties;</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68"/>
        <w:gridCol w:w="200"/>
        <w:gridCol w:w="89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sz w:val="20"/>
              </w:rPr>
            </w:pPr>
            <w:r>
              <w:rPr>
                <w:sz w:val="20"/>
              </w:rPr>
              <w:t>the trends in, expected growth in and market size of the interconnect product industry in China and globally;</w:t>
            </w:r>
          </w:p>
        </w:tc>
      </w:tr>
    </w:tbl>
    <w:p>
      <w:pPr>
        <w:pStyle w:val="TextBody"/>
        <w:bidi w:val="0"/>
        <w:spacing w:before="0" w:after="0"/>
        <w:ind w:left="0" w:right="0" w:hanging="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sz w:val="20"/>
              </w:rPr>
            </w:pPr>
            <w:r>
              <w:rPr>
                <w:sz w:val="20"/>
              </w:rPr>
              <w:t>our ability to maintain and enhance our market position;</w:t>
            </w:r>
          </w:p>
        </w:tc>
      </w:tr>
    </w:tbl>
    <w:p>
      <w:pPr>
        <w:pStyle w:val="TextBody"/>
        <w:bidi w:val="0"/>
        <w:spacing w:before="0" w:after="0"/>
        <w:ind w:left="0" w:right="0" w:hanging="0"/>
        <w:jc w:val="both"/>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68"/>
        <w:gridCol w:w="200"/>
        <w:gridCol w:w="77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sz w:val="20"/>
              </w:rPr>
            </w:pPr>
            <w:r>
              <w:rPr>
                <w:sz w:val="20"/>
              </w:rPr>
              <w:t>our ability to continue to develop new technologies and/or upgrade our existing technologies;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developments in, or changes to, laws, regulations, governmental policies, incentives and taxation affecting our operations;</w:t>
            </w:r>
          </w:p>
        </w:tc>
      </w:tr>
    </w:tbl>
    <w:p>
      <w:pPr>
        <w:pStyle w:val="TextBody"/>
        <w:bidi w:val="0"/>
        <w:spacing w:before="0" w:after="0"/>
        <w:ind w:left="0" w:right="0" w:hanging="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200"/>
        <w:gridCol w:w="71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sz w:val="20"/>
              </w:rPr>
            </w:pPr>
            <w:r>
              <w:rPr>
                <w:sz w:val="20"/>
              </w:rPr>
              <w:t>relevant governmental policies and regulations relating to our businesses and industry;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competitive environment, competitive landscape and potential competitor behavior in our industry; overall industry outlook in our industry;</w:t>
            </w:r>
          </w:p>
        </w:tc>
      </w:tr>
    </w:tbl>
    <w:p>
      <w:pPr>
        <w:pStyle w:val="TextBody"/>
        <w:bidi w:val="0"/>
        <w:spacing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68"/>
        <w:gridCol w:w="200"/>
        <w:gridCol w:w="5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our ability to attract, train and retain executives and other employees;</w:t>
            </w:r>
          </w:p>
        </w:tc>
      </w:tr>
    </w:tbl>
    <w:p>
      <w:pPr>
        <w:pStyle w:val="TextBody"/>
        <w:bidi w:val="0"/>
        <w:spacing w:before="0" w:after="0"/>
        <w:ind w:left="0" w:right="0" w:hanging="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68"/>
        <w:gridCol w:w="200"/>
        <w:gridCol w:w="4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sz w:val="20"/>
              </w:rPr>
            </w:pPr>
            <w:r>
              <w:rPr>
                <w:sz w:val="20"/>
              </w:rPr>
              <w:t>the development of the global financial and capital markets;</w:t>
            </w:r>
          </w:p>
        </w:tc>
      </w:tr>
    </w:tbl>
    <w:p>
      <w:pPr>
        <w:pStyle w:val="TextBody"/>
        <w:bidi w:val="0"/>
        <w:spacing w:before="0" w:after="0"/>
        <w:ind w:left="0" w:right="0" w:hanging="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68"/>
        <w:gridCol w:w="200"/>
        <w:gridCol w:w="47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sz w:val="20"/>
              </w:rPr>
            </w:pPr>
            <w:r>
              <w:rPr>
                <w:sz w:val="20"/>
              </w:rPr>
              <w:t>fluctuations in inflation, interest rates and exchange rates;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general business, political, social and economic conditions in China and the overseas markets in which we have business; and</w:t>
            </w:r>
          </w:p>
        </w:tc>
      </w:tr>
    </w:tbl>
    <w:p>
      <w:pPr>
        <w:pStyle w:val="TextBody"/>
        <w:bidi w:val="0"/>
        <w:spacing w:before="0" w:after="0"/>
        <w:ind w:left="0" w:right="0" w:hanging="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68"/>
        <w:gridCol w:w="200"/>
        <w:gridCol w:w="48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sz w:val="20"/>
              </w:rPr>
            </w:pPr>
            <w:r>
              <w:rPr>
                <w:sz w:val="20"/>
              </w:rPr>
              <w:t>assumptions underlying or related to any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H.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China’s economic, political, or social conditions or government policies could have a material adverse effect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amount of our assets is located in China and we conduct the manufacturing of interconnect products through our PRC subsidiary, CCSC Interconnect DG. Accordingly, our business, financial condition, results of operations, and prospects may be influenced to a significant degree by political, economic, and social conditions in China generally. The Chinese government continues to play a significant role in regulating industry development by imposing industrial policies. The Chinese government also exercises significant control over China’s economic growth by allocating resources, controlling payment of foreign currency-denominated obligations, setting monetary policy, and providing preferential treatment to particular industries 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the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reduce demand for our products, and weaken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regulation over capital investments or changes in tax regulations. In addition, in the past the Chinese government has implemented certain measures, including interest rate adjustments, to control the pace of economic growth. These measures may cause decreased economic activities in China, which may adversely affect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and our PRC subsidiary, as well as our investors, face uncertainty about future actions by the Chinese government that could significantly affect our financial performance and operations. Failure to take timely and appropriate measures to adapt to any of these or similar regulatory compliance challenges could materially and adversely affect our current corporate structure and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uncertainties regarding the enforcement of laws and rules and regulations in mainland China, which can change quickly with little advance notice, and there is a risk that the Chinese government may exert more oversight and control over offerings that are conducted overseas, which could materially and adversely affect our business and hinder our ability to offer our securities or continue our operations, and cause the value of our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system of mainland China is based on written statutes. Unlike common law systems, it is a system in which legal cases have limited value as precedents. There are uncertainties regarding the enforcement of PRC laws and regulations which can change quickly with little advance notice. Any actions by the Chinese government to exert more oversight and control over offerings that are conducted overseas could materially and adversely affect our business and hinder our ability to offer or continue our operations and cause the value of our securities to significantly decline or become worthless. For example, the Chinese cybersecurity regulator announced on July 2, 2021 that it had begun an investigation of Didi Global Inc. (NYSE: DIDI) and two days later ordered that company’s app be removed from smartphone app stores. In December 2021, DIDI announced that it would delist from the New York Stock Exchange less than six months after its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6, 2021, the General Office of the Communist Party of China Central Committee and the General Office of the State Council jointly issued an announcement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On February 17, 2023, the China Securities Regulatory Commission (the “CSRC”) promulgated the Trial Measures and certain supporting guidelines, which came into effect on March 31, 2023. Pursuant to the Trial Measures, a PRC domestic company that seeks to offer or list securities overseas, both directly and indirectly, shall submit the filing materials with the CSRC as required by the Trial Measures within three (3) business days following its submission of an application to overseas securities regulatory authorities for its initial public offering or listing, and once listed, report to the CSRC of any follow-on offerings upon the completion of such follow-on offering. </w:t>
      </w:r>
      <w:r>
        <w:rPr>
          <w:rFonts w:ascii="Times New Roman;Times;Serif" w:hAnsi="Times New Roman;Times;Serif"/>
          <w:b w:val="false"/>
          <w:i/>
          <w:caps w:val="false"/>
          <w:smallCaps w:val="false"/>
          <w:sz w:val="20"/>
        </w:rPr>
        <w:t>See “—The CSRC’s Trial Measures and other relevant rules promulgated by the CSRC may subject us to additional compliance requirements in the future.”</w:t>
      </w:r>
      <w:r>
        <w:rPr>
          <w:rFonts w:ascii="Times New Roman;Times;Serif" w:hAnsi="Times New Roman;Times;Serif"/>
          <w:b w:val="false"/>
          <w:i w:val="false"/>
          <w:caps w:val="false"/>
          <w:smallCaps w:val="false"/>
          <w:sz w:val="20"/>
        </w:rPr>
        <w:t xml:space="preserve"> In connection with our initial public offering, the CSRC notified us in writing on November 6, 2023 that we do not fall within the scope of the filing requirements under the Trial Measures and, therefore, as of the date of this annual report, we believe that we are not required to obtain permission or approval from the competent PRC authorities, including the CSRC, for the listing and trading of our Class A Ordinary Shares on U.S. exchanges. However, if the CSRC or other regulatory agencies later promulgate new rules and require that we obtain their approvals for our future offerings, we may be unable to obtain such approval in a timely manner, or at all. Failure to obtain such approvals may subject us to sanctions by the CSRC or other PRC regulatory agencies. See “—</w:t>
      </w:r>
      <w:r>
        <w:rPr>
          <w:rFonts w:ascii="Times New Roman;Times;Serif" w:hAnsi="Times New Roman;Times;Serif"/>
          <w:b w:val="false"/>
          <w:i/>
          <w:caps w:val="false"/>
          <w:smallCaps w:val="false"/>
          <w:sz w:val="20"/>
        </w:rPr>
        <w:t>The approval of the China Securities Regulatory Commission and other compliance procedures may be required in the future in connection with any of our future offerings, and, if required, we cannot predict whether we will be able to obtain such approval</w:t>
      </w:r>
      <w:r>
        <w:rPr>
          <w:rFonts w:ascii="Times New Roman;Times;Serif" w:hAnsi="Times New Roman;Times;Serif"/>
          <w:b w:val="false"/>
          <w:i w:val="false"/>
          <w:caps w:val="false"/>
          <w:smallCaps w:val="false"/>
          <w:sz w:val="20"/>
        </w:rPr>
        <w:t>”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Since mainland China administrative and court authorities have significant discretion in interpreting and implementing statutory and contractual terms, it may be more difficult to evaluate the outcome of administrative and court proceedings and the level of legal protection we enjoy in mainland China legal system than in more developed legal systems. Furthermore, the legal system of mainland China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uncertainties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 and cause the value of our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greater oversight by the Cyberspace Administration of China (the “CAC”) over cybersecurity and data security, particularly for companies seeking to list on a foreign exchange,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28, 2021, the CAC, together with 12 other governmental departments of the PRC, jointly promulgated the </w:t>
      </w:r>
      <w:r>
        <w:rPr>
          <w:rFonts w:ascii="Times New Roman;Times;Serif" w:hAnsi="Times New Roman;Times;Serif"/>
          <w:b w:val="false"/>
          <w:i/>
          <w:caps w:val="false"/>
          <w:smallCaps w:val="false"/>
          <w:sz w:val="20"/>
        </w:rPr>
        <w:t>Cybersecurity Review Measures</w:t>
      </w:r>
      <w:r>
        <w:rPr>
          <w:rFonts w:ascii="Times New Roman;Times;Serif" w:hAnsi="Times New Roman;Times;Serif"/>
          <w:b w:val="false"/>
          <w:i w:val="false"/>
          <w:caps w:val="false"/>
          <w:smallCaps w:val="false"/>
          <w:sz w:val="20"/>
        </w:rPr>
        <w:t xml:space="preserve">, which became effective on February 15, 2022. The </w:t>
      </w:r>
      <w:r>
        <w:rPr>
          <w:rFonts w:ascii="Times New Roman;Times;Serif" w:hAnsi="Times New Roman;Times;Serif"/>
          <w:b w:val="false"/>
          <w:i/>
          <w:caps w:val="false"/>
          <w:smallCaps w:val="false"/>
          <w:sz w:val="20"/>
        </w:rPr>
        <w:t>Cybersecurity Review Measures</w:t>
      </w:r>
      <w:r>
        <w:rPr>
          <w:rFonts w:ascii="Times New Roman;Times;Serif" w:hAnsi="Times New Roman;Times;Serif"/>
          <w:b w:val="false"/>
          <w:i w:val="false"/>
          <w:caps w:val="false"/>
          <w:smallCaps w:val="false"/>
          <w:sz w:val="20"/>
        </w:rPr>
        <w:t xml:space="preserve"> provides that, in addition to critical information infrastructure operators (“CIIOs”) that intend to purchase Internet products and services, network platform operators engaging in data processing activities that affect or may affect national security must be subject to cybersecurity review by the Cybersecurity Review Office of the PRC. The </w:t>
      </w:r>
      <w:r>
        <w:rPr>
          <w:rFonts w:ascii="Times New Roman;Times;Serif" w:hAnsi="Times New Roman;Times;Serif"/>
          <w:b w:val="false"/>
          <w:i/>
          <w:caps w:val="false"/>
          <w:smallCaps w:val="false"/>
          <w:sz w:val="20"/>
        </w:rPr>
        <w:t>Cybersecurity Review Measures</w:t>
      </w:r>
      <w:r>
        <w:rPr>
          <w:rFonts w:ascii="Times New Roman;Times;Serif" w:hAnsi="Times New Roman;Times;Serif"/>
          <w:b w:val="false"/>
          <w:i w:val="false"/>
          <w:caps w:val="false"/>
          <w:smallCaps w:val="false"/>
          <w:sz w:val="20"/>
        </w:rPr>
        <w:t xml:space="preserve"> further requires that network platform operators that possess personal information of more than one million users must apply for a mandatory cybersecurity review before conducting listings in foreign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14, 2021, the CAC published the </w:t>
      </w:r>
      <w:r>
        <w:rPr>
          <w:rFonts w:ascii="Times New Roman;Times;Serif" w:hAnsi="Times New Roman;Times;Serif"/>
          <w:b w:val="false"/>
          <w:i/>
          <w:caps w:val="false"/>
          <w:smallCaps w:val="false"/>
          <w:sz w:val="20"/>
        </w:rPr>
        <w:t>Network Data Security Administration Draft</w:t>
      </w:r>
      <w:r>
        <w:rPr>
          <w:rFonts w:ascii="Times New Roman;Times;Serif" w:hAnsi="Times New Roman;Times;Serif"/>
          <w:b w:val="false"/>
          <w:i w:val="false"/>
          <w:caps w:val="false"/>
          <w:smallCaps w:val="false"/>
          <w:sz w:val="20"/>
        </w:rPr>
        <w:t>, or the “Security Administration Draft”, which provides that data processing operators engaging in data processing activities that affect or may affect national security or that processing personal information of more than one million users must be subject to network data security review by the relevant Cyberspace Administration of the PRC. The official version of the Regulation for the Administration of Network Data Security (the “Network Data Security Regulation”) was promulgated on September 24, 2024 and came into effect on January 1, 2025, which deletes the requirement for a mandatory application of cybersecurity review for data processing operators who possess personal data of at least one million users, as stated above. Instead, it requires that a network data handler who carries out network data processing activities that affect or may affect national security, shall undergo a national security review in accordance with relevant national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received any notice from any PRC authorities identifying our PRC subsidiary as a CIIO or requiring us to go through cybersecurity review or network data security review by the CAC. We believe our PRC operations were not subject to cybersecurity review or network data security review by the CAC for our initial public offering (the “IPO”), because we believe our PRC subsidiary is not a CIIO or a network platform operator possessing personal information of more than one million users, and our business does not involve data processing activities that affect or may affect national security. As of the date of this annual report, we believe that we are in compliance with the applicable PRC cybersecurity and data security laws and regulations that have been issued by the CAC in all material respects, and we have not received any complaints from any third party, nor have we been investigated or punished by any competent PRC authority in this regard. There remains uncertainty, however, as to how the relevant PRC cybersecurity and data security laws and regulations will be interpreted or implemented and whether the PRC regulatory agencies, including the CAC, may adopt new laws, regulations, rules, or detailed implementation and interpretation related to cybersecurity. If any such new laws, regulations, rules, or implementation and interpretation come into effect, we expect to take all reasonable measures and actions to comply and to minimize the adverse effect of such laws on us. We cannot guarantee, however, that we will not be subject to cybersecurity review or network data security review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approval of the China Securities Regulatory Commission and other compliance procedures may be required in the future in connection with any of our future offerings, and, if required, we cannot predict whether we will be able to obtain such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require overseas special purpose vehicles that are controlled by mainland China companies or individuals formed for the purpose of seeking a public listing on an overseas stock exchange through acquisitions of mainland China domestic companies using shares of such special purpose vehicle or held by its shareholders as consideration to obtain the approval of the CSRC, prior to the listing and trading of such special purpose vehicles’ securities on an overseas stock exchange. Our PRC legal counsel, JT&amp;N, has advised us, based on its understanding of the current PRC laws and regulations, that the CSRC’s approval was not required for the listing and trading of our Class A Ordinary Shares on Nasdaq under the M&amp;A Rules, given that: (i) the CSRC has not issued any definitive rule or interpretation concerning whether offerings such as ours are subject to the M&amp;A Rules; and (ii) we established our wholly-foreign owned enterprise (“WFOE”), CCSC Interconnect DG, by means of direct investment rather than through a merger and acquisition of a “mainland China domestic company” as defined under the M&amp;A Rules. As of the date of this annual report, there have been no material changes to these regulations and policies since our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our PRC legal counsel, JT&amp;N, has further advised us that there remains some uncertainty as to how the M&amp;A Rules will be interpreted or implemented in the context of an overseas offering and its opinions summarized above are subject to any new laws, regulations and rules or detailed implementations and interpretations in any form relating to the M&amp;A Rules. If the CSRC or other regulatory agencies later promulgate new rules or requiring that we obtain their approvals for our future offerings, we may be unable to obtain such approval in a timely manner, or at all. If it is determined that CSRC approval or any approval from the relevant PRC regulatory agencies is required for future offerings and we fail to obtain such approval, we may face sanctions by the CSRC or other PRC regulatory agencies for failure to obtain the CSRC approval. These sanctions may include fines and penalties on our operations in China, limitations on our operating privileges in China, delays in or restrictions on the repatriation of the proceeds from our future offerings into the PRC, restrictions on or prohibition of the payments or remittance of dividends by our subsidiary in China, or other actions that could have a material and adverse effect on our business, reputation, financial condition, results of operations, prospects, as well as the trading price of our Class A Ordinary Shares. In addition, if the CSRC or other regulatory agencies later promulgate new rules or explanations requiring that we obtain their approvals for our existing or future share offerings, we may be unable to obtain a waiver of such approval requirements or to obtain such approval in timely manner, or at all.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CSRC’s Trial Measures and other relevant rules promulgated by the CSRC may subject us to additional compliance requirements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Measures and relevant supporting guidelines, which came into effect on March 31, 2023. Pursuant to the Trial Measures, a PRC domestic company that seeks to offer or list securities overseas, both directly and indirectly, shall submit the filing materials with the CSRC as required by the Trial Measures within three (3) business days following its submission of an application to overseas securities regulatory authorities for its initial public offering or listing. Once listed, such PRC domestic company is required to report to the CSRC within three (3) business days upon the completion of any follow-on offerings. If the PRC domestic company fails to complete required filing procedures or conceals any material fact or falsifies any major content in its filing documents, such PRC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according to the Notice on the Administrative Arrangements for the Filing of the Overseas Securities Offering and Listing by Domestic Companies issued by the CSRC on February 17, 2023, or the CSRC Notice, beginning on March 31, 2023, PRC domestic companies that had submitted valid applications for overseas offering and listing but did not obtain the approval from overseas regulatory authorities or overseas stock exchanges shall complete the required filing procedures with the CSRC prior to the completion of their overseas offerings and listing. In compliance with the Trial Measures, we submitted our filing materials to the CSRC on August 31, 2023, and were informed by the CSRC in writing on November 6, 2023 that we did not fall within the scope of the filing requirements at such time. Based on such notice by the CSRC, we believe we are not required to undertake the relevant filing and reporting requirements as stipulated in the Trial Measures. However, we cannot assure you that we will not become subject to the filing requirements in the future, if the CSRC issues any further guidelines that otherwise subjects us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together with the Ministry of Finance, the National Administration of State Secrets Protection and National Archives Administration of China, revised the Provisions on Strengthening Confidentiality and Archives Administration for Overseas Securities Offering and Listing, which were issued by the CSRC and National Administration of State Secrets Protection and National Archives Administration of China in 2009, or the Provisions.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introduced by the revised Provisions is the expansion of their application to cover indirect overseas offerings and listings, consistent with the Trial Measures. The revised Provisions require that, among other things, (a) a PRC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the competent authorities in accordance with applicable PRC laws and regulations, and file with the secrecy administrative department at the corresponding level; and (b) a PRC domestic company that plans to, either directly or indirectly through its overseas listed entity, publicly disclose or provide to relevant individuals or entities, including securities companies, securities service providers, and overseas regulators, any other documents and materials that, if leaked, would be detrimental to national security or the public interest, shall strictly fulfill the relevant procedures stipulated by applicable national regulations. Any failure or perceived failure by us or our PRC subsidiary to comply with the foregoing confidentiality and archives administration requirements under the revised Provisions and other applicable PRC laws and regulations may result in the relevant entities being held legally liable by the competent authorities, and referred to the relevant judicial authorities for investigation of criminal liability if a crime is suspected.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laws and regulations issued by the PRC authorities may subject us to additional compliance requirements. We cannot assure you that we will be able to comply with all the new regulatory requirements, or any future implementing rules on a timely basis, or at all. Any failure by us to fully comply with the new regulatory requirements, including but not limited to the failure to complete the filing procedures with the CSRC if required, may significantly limit or completely hinder our ability to offer or continue to offer our Class A Ordinary Shares, cause significant disruption to our business operations, and severely damage our reputation, which would materially and adversely affect our financial condition and results of operations and cause our Class A Ordinary Shares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Chinese government exerts substantial influence over the manner in which we must conduct our business and may intervene or influence our operations at any time, which actions may result in a material change in our operations and impact our operations materially and adversely, and significantly limit or completely hinder our ability to offer or continue to offer securities to investors and cause the value of our Class A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exercised, and continues to exercise, substantial control over virtually every sector of the Chinese economy. Our ability to operate in China may be harmed by changes in its laws and regulations, including those relating to manufacturing,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or regional or local variations in the implementation of economic policies, could have a significant effect on economic conditions in China or particular regions thereof, and could require us to divest ourselves of any interest we then hold in Chinese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various forms of governmental and regulatory oversight. We could be subject to regulation by various political and regulatory entities, including various local and municipal agencies and governmental subdivisions. We may incur increased costs necessary to comply with existing and newly adopted laws and regulations, or penalties for any failure to comply. Our operations could be adversely affected, directly or indirectly, by existing or future laws and regulations relating to our business or industry, which could result in further material changes in our operations and could adversely impact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recent statements by the Chinese government indicate an intention to exert more oversight and control over offerings that are conducted overseas. Although we believe that we are currently not required to obtain permission from any of the PRC central or local governments and we have not received any denial of our listing on any U.S. exchange, it is uncertain whether or when we might be required to obtain permission from the PRC government to list on U.S. exchanges in the future. Even if such permission is obtained, it remains uncertain whether it may be later denied or rescinded, which could significantly limit or completely hinder our ability to offer or continue to offer our securities to investors and may cause the value of our shares to significantly decline or become worthless. If (i) we do not receive or maintain such permissions or approvals, (ii) we inadvertently conclude that such permissions or approvals are not required, or (iii) applicable PRC laws, regulations, or interpretations change and we are required to obtain such permissions or approvals in the future, we may be subject to fines or other penalties, including suspension of business and revocation of requisite licenses, which could result in a material change in our operations and may have a material adverse effect on our business, financial condition, or results of operations, and the value of our Class A Ordinary Shares could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actions in mainland China against us or our management based on foreign laws, compared to doing so in your home country against a domestic defendant. It may also be difficult for you or overseas regulators to conduct investigations or collect evidence within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incorporated under the laws of the Cayman Islands, we conduct a majority of our operations in China and a majority of our assets are located in China. As a result, it may be difficult for you to effect service of process upon those persons inside mainland China, compared to doing so in your home country against a domestic defendant. It may also be difficult for you to enforce judgments obtained in U.S. courts based on the civil liability provisions of the U.S. federal securities laws against us and our officers and directors, as none of them currently reside in the U.S. or has substantial assets in the U.S. In addition, there is uncertainty as to whether the courts of the Cayman Islands or mainland China would recognize or enforce judgments of U.S. courts against us or such persons predicated upon the civil liability provisions of the securities laws of the U.S. or any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recognition and enforcement of foreign judgments are provided for under the </w:t>
      </w:r>
      <w:r>
        <w:rPr>
          <w:rFonts w:ascii="Times New Roman;Times;Serif" w:hAnsi="Times New Roman;Times;Serif"/>
          <w:b w:val="false"/>
          <w:i/>
          <w:caps w:val="false"/>
          <w:smallCaps w:val="false"/>
          <w:sz w:val="20"/>
        </w:rPr>
        <w:t>PRC Civil Procedures Law</w:t>
      </w:r>
      <w:r>
        <w:rPr>
          <w:rFonts w:ascii="Times New Roman;Times;Serif" w:hAnsi="Times New Roman;Times;Serif"/>
          <w:b w:val="false"/>
          <w:i w:val="false"/>
          <w:caps w:val="false"/>
          <w:smallCaps w:val="false"/>
          <w:sz w:val="20"/>
        </w:rPr>
        <w:t xml:space="preserve">. The competent PRC courts may recognize and enforce foreign judgments in accordance with the requirements of the </w:t>
      </w:r>
      <w:r>
        <w:rPr>
          <w:rFonts w:ascii="Times New Roman;Times;Serif" w:hAnsi="Times New Roman;Times;Serif"/>
          <w:b w:val="false"/>
          <w:i/>
          <w:caps w:val="false"/>
          <w:smallCaps w:val="false"/>
          <w:sz w:val="20"/>
        </w:rPr>
        <w:t>PRC Civil Procedures Law</w:t>
      </w:r>
      <w:r>
        <w:rPr>
          <w:rFonts w:ascii="Times New Roman;Times;Serif" w:hAnsi="Times New Roman;Times;Serif"/>
          <w:b w:val="false"/>
          <w:i w:val="false"/>
          <w:caps w:val="false"/>
          <w:smallCaps w:val="false"/>
          <w:sz w:val="20"/>
        </w:rPr>
        <w:t xml:space="preserve">, based either on treaties between China and the country or region where the judgment is made or on principles of reciprocity between jurisdictions. China does not have any treaties or other forms of written arrangement with the United States that provide for the reciprocal recognition and enforcement of foreign judgments. In addition, pursuant to the </w:t>
      </w:r>
      <w:r>
        <w:rPr>
          <w:rFonts w:ascii="Times New Roman;Times;Serif" w:hAnsi="Times New Roman;Times;Serif"/>
          <w:b w:val="false"/>
          <w:i/>
          <w:caps w:val="false"/>
          <w:smallCaps w:val="false"/>
          <w:sz w:val="20"/>
        </w:rPr>
        <w:t>PRC Civil Procedures Law</w:t>
      </w:r>
      <w:r>
        <w:rPr>
          <w:rFonts w:ascii="Times New Roman;Times;Serif" w:hAnsi="Times New Roman;Times;Serif"/>
          <w:b w:val="false"/>
          <w:i w:val="false"/>
          <w:caps w:val="false"/>
          <w:smallCaps w:val="false"/>
          <w:sz w:val="20"/>
        </w:rPr>
        <w:t>, the competent PRC courts will not enforce a foreign judgment against us or our directors and officers if they determine that the judgment violates the basic principles of PRC laws and regulations or national sovereignty, security, or public interest. As a result, it is uncertain whether, and on what basis, a PRC court would enforce a judgment rendered by a court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may also be difficult for you or overseas regulators to conduct investigations or collect evidence within mainland China. For example, there are significant legal and other obstacles to obtaining information, documents, and materials needed for regulatory investigations or litigation outside mainland China. Although the authorities in China may establish a regulatory cooperation mechanism with their counterparts in another country or region to monitor and oversee cross-border securities activities, such regulatory cooperation with the securities regulatory authorities in the United States may not be efficient in the absence of a practical cooperation mechanism. Furthermore, according to Article 177 of the </w:t>
      </w:r>
      <w:r>
        <w:rPr>
          <w:rFonts w:ascii="Times New Roman;Times;Serif" w:hAnsi="Times New Roman;Times;Serif"/>
          <w:b w:val="false"/>
          <w:i/>
          <w:caps w:val="false"/>
          <w:smallCaps w:val="false"/>
          <w:sz w:val="20"/>
        </w:rPr>
        <w:t>PRC Securities Law</w:t>
      </w:r>
      <w:r>
        <w:rPr>
          <w:rFonts w:ascii="Times New Roman;Times;Serif" w:hAnsi="Times New Roman;Times;Serif"/>
          <w:b w:val="false"/>
          <w:i w:val="false"/>
          <w:caps w:val="false"/>
          <w:smallCaps w:val="false"/>
          <w:sz w:val="20"/>
        </w:rPr>
        <w:t xml:space="preserve">, or “Article 177,” which became effective in March 2020, no overseas securities regulator is allowed to directly conduct investigation or evidence collection activities within the territory of mainland China. Article 177 further provides that Chinese entities and individuals are not allowed to provide documents or materials related to securities business activities to foreign agencies without the prior consent of the securities regulatory authority of the PRC State Council and the competent departments of the PRC State Council. Furthermore, the Trial Measures provide that overseas securities regulatory authorities may conduct investigations or evidence collection relating to PRC domestic companies’ overseas offering and listing activities through the assistance of the CSRC under relevant cross-border securities regulatory cooperation mechanisms. Accordingly, without regulatory cooperation between the U.S. and China, no entity or individual in mainland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outside of mainland China. </w:t>
      </w:r>
      <w:r>
        <w:rPr>
          <w:rFonts w:ascii="Times New Roman;Times;Serif" w:hAnsi="Times New Roman;Times;Serif"/>
          <w:b w:val="false"/>
          <w:i/>
          <w:caps w:val="false"/>
          <w:smallCaps w:val="false"/>
          <w:sz w:val="20"/>
        </w:rPr>
        <w:t>See “—There are uncertainties under the PRC Securities Law relating to the procedures and requisite timing for the U.S. securities regulatory agencies to conduct investigations and collect evidence within the territory of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HFCAA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offering and listing on the Nasdaq Capital Market, and Nasdaq may determine to delist our securities if the PCAOB determines that it cannot inspect or fully investigate our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former SEC Chairman Jay Clayton and former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2020, the “</w:t>
      </w:r>
      <w:r>
        <w:rPr>
          <w:rFonts w:ascii="Times New Roman;Times;Serif" w:hAnsi="Times New Roman;Times;Serif"/>
          <w:b w:val="false"/>
          <w:i/>
          <w:caps w:val="false"/>
          <w:smallCaps w:val="false"/>
          <w:sz w:val="20"/>
        </w:rPr>
        <w:t>Holding Foreign Companies Accountable Act</w:t>
      </w:r>
      <w:r>
        <w:rPr>
          <w:rFonts w:ascii="Times New Roman;Times;Serif" w:hAnsi="Times New Roman;Times;Serif"/>
          <w:b w:val="false"/>
          <w:i w:val="false"/>
          <w:caps w:val="false"/>
          <w:smallCaps w:val="false"/>
          <w:sz w:val="20"/>
        </w:rPr>
        <w:t>” was signed by President Donald Trump and became law. This legislation requires certain issuers of securities to establish that they are not owned or controlled by a foreign government. Specifically, an issuer must make this certification if the PCAOB is unable to audit specified reports because the issuer has retained a foreign public accounting firm not subject to inspection by the PCAOB. Furthermore, if the PCAOB is unable to inspect the issuer’s public accounting firm for three (3) consecutive years beginning in 2021, the issuer’s securities are banned from trade on a national exchange or through other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w:t>
      </w:r>
      <w:r>
        <w:rPr>
          <w:rFonts w:ascii="Times New Roman;Times;Serif" w:hAnsi="Times New Roman;Times;Serif"/>
          <w:b w:val="false"/>
          <w:i/>
          <w:caps w:val="false"/>
          <w:smallCaps w:val="false"/>
          <w:sz w:val="20"/>
        </w:rPr>
        <w:t>Accelerating Holding Foreign Companies Accountable Act</w:t>
      </w:r>
      <w:r>
        <w:rPr>
          <w:rFonts w:ascii="Times New Roman;Times;Serif" w:hAnsi="Times New Roman;Times;Serif"/>
          <w:b w:val="false"/>
          <w:i w:val="false"/>
          <w:caps w:val="false"/>
          <w:smallCaps w:val="false"/>
          <w:sz w:val="20"/>
        </w:rPr>
        <w:t>”, which, if passed by the U.S. House of Representatives and signed into law by the President, would decrease the number of non-inspection years for foreign companies to comply with PCAOB audits from three (3) to two (2) years, thus, reducing the period before their securities may be prohibited from trading or delisted if the PCAOB determines that it cannot inspect or investigate our auditor completely.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2021, the SEC approved the PCAOB’s Rule 6100, Board Determinations Under the “</w:t>
      </w:r>
      <w:r>
        <w:rPr>
          <w:rFonts w:ascii="Times New Roman;Times;Serif" w:hAnsi="Times New Roman;Times;Serif"/>
          <w:b w:val="false"/>
          <w:i/>
          <w:caps w:val="false"/>
          <w:smallCaps w:val="false"/>
          <w:sz w:val="20"/>
        </w:rPr>
        <w:t>Holding Foreign Companies Accountable Act</w:t>
      </w:r>
      <w:r>
        <w:rPr>
          <w:rFonts w:ascii="Times New Roman;Times;Serif" w:hAnsi="Times New Roman;Times;Serif"/>
          <w:b w:val="false"/>
          <w:i w:val="false"/>
          <w:caps w:val="false"/>
          <w:smallCaps w:val="false"/>
          <w:sz w:val="20"/>
        </w:rPr>
        <w:t>”. Rule 6100 provides a framework for the PCAOB to use to determine whether it is unable to inspect or investigate registered public accounting firms located in a foreign jurisdiction because of a position taken by one or more authorities in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HFCAA. The rules apply to registrants the SEC identifies as having filed an annual report with an audit report issued by a registered public accounting firm that is located in a foreign jurisdiction and that the PCAOB is unable to inspect or investigate.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the PCAOB is unable to inspect or investigate completely PCAOB-registered public accounting firms headquartered in mainland China and in Hong Kong, a Special Administrative Region of the PRC, because of positions taken by PRC authorities in those jurisdictions. The PCAOB made the Determinations pursuant to PCAOB Rule 6100, which provides a framework for how the PCAOB fulfills its responsibilities under the HFCAA.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PCAOB signed the SOP Agreements with the CSRC and the MOF governing inspections and investigations, to establish a specific, accountable framework to make possible complete inspections and investigations by the PCAOB of audit firms based in mainland China and Hong Kong, as required under U.S.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determined that it was able to secure complete access to inspect and investigate registered public accounting firms headquartered in mainland China and Hong Kong and vacated its previous determinations to the contrary. However, should PRC authorities obstruct or otherwise fail to facilitate the PCAOB’s access in the future, the PCAOB may consider the need to issue a new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2022, provisions of the Accelerating Holding Foreign Companies Accountable Act were signed into law as part of the Consolidated Appropriations Act, amending the HFCAA by requiring the SEC to prohibit an issuer’s securities from trading on any U.S. stock exchanges if its auditor is not subject to PCAOB inspections for two consecutive years instead of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lack of access to the PCAOB inspection in China prevents the PCAOB from fully evaluating audits and quality control procedures of the auditors based in China. As a result, the investors may be deprived of the benefits of such PCAOB inspections. The inability of the PCAOB to conduct inspections of auditors in China makes it more difficult to evaluate the effectiveness of these accounting firms’ audit procedures or quality control procedures as compared to auditors outside of China that are subject to the PCAOB inspections, which could cause existing and potential investors to lose confidence in audit procedures and reported financial information and the quality of financial statements of China-based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former auditor, Marcum Asia CPAs LLP (“Marcum Asia”), is a PCAOB registered public accounting firm headquartered in New York. On November 1, 2024, the Company appointed Enrome LLP as its independent registered public accounting firm in place of Marcum Asia, effective immediately. Enrome LLP, whose audit report is included in this annual report on Form 20-F, is headquartered in Singapore. Our current and former auditors are both subject to laws in the United States pursuant to which the PCAOB conducts regular inspections to assess an auditor’s compliance with the applicable professional standards, and have been inspected by the PCAOB. As such, as of the date of this annual report, we do not believe our offering of securities will be affected by the HFCAA and related regulations. However, recent developments may give rise to additional uncertainties with respect to our offering of securities, and we cannot assure you that Nasdaq or other regulatory authorities will not apply additional and more stringent criteria to us after considering the effectiveness of our auditor’s audit procedures and quality control procedures, adequacy of personnel and training, or sufficiency of resources, geographic reach, or experience as related to the audit of our financial statements. Furthermore, there is a risk that our auditor may not be subject to inspection by the PCAOB in the future. The absence of such inspection could cause trading in our securities to be prohibited on a national exchange or in the over-the-counter trading market under the HFCAA and related regulations, and, as a result, Nasdaq may determine to delist our securities, which may cause the value of our securities to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disruption to our technology systems, if our technology systems or the proprietary information and/or data collected and stored by our PRC subsidiary via such systems, particularly billing and client information, were to be accessed or tampered with by unauthorized persons, and, in any such case, our reputation and relationships with our customers could be harmed and our business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satisfactory performance, reliability and availability of our technology systems are critical to our business. We rely on our technology systems as well as the people who operate them to securely collect and store confidential and personal data regarding our customers, suppliers and employees during our day-to-day business operation and staff access to such confidential and personal data is only made available on a need-to-know basis, including access to names and billing data. However, these systems may fail to operate properly or become disabled as a result of tampering or a breach of our network security systems or otherwise, and, for reasons beyond our control, we may also experience telecommunications failures, computer viruses, failures during the process of upgrading or replacing software, databases or components, power outages, hardware failures, user errors, unauthorized intrusions or inadvertent data breaches, or other attempts to harm our technology systems, which could result in exposure or destruction of the proprietary information and/or data stored in our technology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risk management and internal control systems, consisting of policies and procedures that we believe are appropriate for using and managing our technology systems and the proprietary information and/or data stored in such systems properly and securely, including (i) establishing procedures to evaluate our backup systems on a timely basis and to review the security level of our current systems and consider upgrading our security and software testing as needed, and (ii) the establishment of a firewall to prevent external cybersecurity risks and providing cybersecurity training to our employees. Our board of directors is responsible for the overall management and implementation of such policies and procedures, which will be updated every year under the monitoring of our board of directors, and shall be approved by our board of directors and certified by a third party, to ensure that such policies and procedures satisfy the requirements of IATF 16949 and the International Organization for Standardization (the “ISO”) 9001. Although, as of the date of this annual report, we have not experienced any cyber-attacks, breaches of our network security systems on which we rely could involve attacks intended to (i) obtain unauthorized access to and disclose sensitive and confidential client information and/or our proprietary information, or (ii) destroy data or disable, degrade, or sabotage our systems, often through the introduction of computer viruses and other means. Such breaches or attacks could originate from a wide variety of sources, including state actors or other unknown third parties. Since techniques used to obtain unauthorized access to systems or to sabotage systems change frequently and may not be known until launched against us, we may not be able to anticipate these attacks or implement adequate preventative measures promptly and effectively. In addition, any party who illegally obtains identification and password credentials could potentially gain unauthorized access to our technology systems, and we cannot assure you that we will be able to anticipate, detect, or implement effective preventative measures against frequently changing cyber-attacks. In addition to the implementation and maintenance of data security measures, we require our employees to maintain the confidentiality of the proprietary information that we hold. However, from time to time, employees make mistakes with respect to security policies that are not always immediately detected by compliance policies and procedures. Such mistakes can include errors in software implementation or a failure to follow protocols and patch systems. Employee errors, even if promptly discovered and remediated, may result in the unauthorized disclosure of confidential information, and our systems may be otherwise compromised, malfunction, or disabled; therefore, in such events, we could suffer a disruption of our business, financial losses, liability to customers, regulatory sanctions, and damage to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cybersecurity incident occurs, or is perceived to occur, we may have to spend significant capital and other resources to mitigate the impact of such event and to develop and implement protections to prevent future events of such nature from occurring. Furthermore, in the event of any of the foregoing cybersecurity breaches or attacks, we may also be subject to negative publicity and public perception of the ineffectiveness of our security measures, and our reputation may be harmed, which could damage our relationships with existing or potential customers and our business and financial condition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labor costs in the PRC may adversely affect our business and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economy has experienced increases in labor costs in recent years. China’s overall economy and the average wage in China are expected to continue to grow. The average wage level for our employees has also increased in recent years. We expect that our labor costs, including wages and employee benefits, will continue to increase. While we increased the number of manufacturing employees from 136 in the fiscal year ended March 31, 2024 to 139 as of March 31, 2025, to counter the rising labor costs and improve our operational efficiency, we thereafter reduced the number to 123 as of March 31, 2026. The labor costs for the three most recent fiscal years amounted to US$2.49 million, US$3.07 million, and US$2.77 million for the fiscal years ended March 31, 2024, 2025, and 2026, respectively, representing 23.0%, 24.3%, and 22.6% of our total cost of revenue, respectively. Unless we are able to continue to improve our operational efficiency or pass on increased labor costs to our customers by increasing prices for our products or services, our profitability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w:t>
      </w:r>
      <w:r>
        <w:rPr>
          <w:rFonts w:ascii="Times New Roman;Times;Serif" w:hAnsi="Times New Roman;Times;Serif"/>
          <w:b w:val="false"/>
          <w:i/>
          <w:caps w:val="false"/>
          <w:smallCaps w:val="false"/>
          <w:sz w:val="20"/>
        </w:rPr>
        <w:t>Labor Contract Law of the People’s Republic of China</w:t>
      </w:r>
      <w:r>
        <w:rPr>
          <w:rFonts w:ascii="Times New Roman;Times;Serif" w:hAnsi="Times New Roman;Times;Serif"/>
          <w:b w:val="false"/>
          <w:i w:val="false"/>
          <w:caps w:val="false"/>
          <w:smallCaps w:val="false"/>
          <w:sz w:val="20"/>
        </w:rPr>
        <w:t>, or the “Labor Contract Law,” which became effective in January 2008, as amended effective in July 2013, and its implementing rules that became effective in September 2008,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and its implementing rules may limit our ability to effect those changes in a desirable or cost-effective manner, which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PRC subsidiary has not made adequate social insurance and housing fund contributions for all employees as required by PRC regulations, which may subject us to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Social Insurance Law and the Administrative Regulations on the Housing Funds, companies operating in mainland China are required to participate in pension insurance, work-related injury insurance, medical insurance, unemployment insurance, maternity insurance (collectively known as “social insurance”), and housing funds plans, and the employers must pay all or a portion of the social insurance premiums and housing funds for their employees. For more details, please see “Item 4. Information on the Company-B. Business Overview-Regulations-Regulations Relating to Labor Protection.” The requirement of social insurance and housing fund has not been implemented consistently by the local governments in China given the different levels of economic development in different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relevant laws, an enterprise is required, within a prescribed time limit, to register with the relevant social security authority and housing fund management center, and to open the relevant accounts and make timely contributions for its employees; failure to do so may subject the enterprise to an order for rectification, and to certain fines if the enterprise fails to rectify in time. As of the date of this annual report, we have not been paying the social insurance and housing fund contributions for our employees in full. Any failure to make sufficient provision of the outstanding amounts of contributions to such funds is a violation of applicable PRC laws and regulations, and we could be required to make up the contributions and be subject to late fees, fines, and associated administrative penalties. As of March 31, 2024, 2025, and 2026, we had outstanding social insurance payments payable in the aggregate amount of approximately $167,141, $141,068, and $143,986, respectively, and outstanding housing fund contributions in the aggregate amount of approximately $116,942, $115,668, and $123,601, respectively. In the event that the relevant authorities determine that we have underpaid, our PRC subsidiary may be required to pay outstanding contributions and penalties to the extent we did not make full contributions to the social insurance and housing provident funds. If we fail to pay the contributions in full and on time within the prescribed time limit as required, a late fee of 0.05% per day and a fine of one to three times the outstanding amount of social insurance may be imposed by the relevant authority, and the relevant authorities could file applications with competent courts for compulsory enforcement of the payment of outstanding housing fund contributions. As of March 31, 2024, 2025, and 2026, an estimated late fee in the aggregate amount of approximately $48,224, $22,739, and $53,210, respectively, may be imposed with respect to the outstanding social insurance payments payable. Moreover, our failure to make adequate contributions to social insurance and housing funds may also trigger private complaints filed by our employees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received any notices from the competent PRC authorities requiring us to make up the underpayment of social insurance and housing fund contributions for our employees; however, we cannot guarantee that the competent PRC authorities will not order us to do so in the future. We intend to pay the outstanding social insurance and housing fund payments upon receipt of notice from the competent PRC authorities. We may also be subject to fines and penalties if we fail to comply, which could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offshore investment activities by mainland China residents may subject our mainland China resident beneficial owners or our PRC subsidiary to liability or penalties, limit our ability to inject capital into our PRC subsidiary, limit our PRC subsidiary’s ability to increase its registered capital or distribute profits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4, 2014, State Administration of Foreign Exchange (“SAFE”) issued the </w:t>
      </w:r>
      <w:r>
        <w:rPr>
          <w:rFonts w:ascii="Times New Roman;Times;Serif" w:hAnsi="Times New Roman;Times;Serif"/>
          <w:b w:val="false"/>
          <w:i/>
          <w:caps w:val="false"/>
          <w:smallCaps w:val="false"/>
          <w:sz w:val="20"/>
        </w:rPr>
        <w:t>Circular on Issues Concerning Foreign Exchange Control over the Overseas Investment and Financing and Round-trip Investment by Domestic Residents via Special Purpose Vehicles</w:t>
      </w:r>
      <w:r>
        <w:rPr>
          <w:rFonts w:ascii="Times New Roman;Times;Serif" w:hAnsi="Times New Roman;Times;Serif"/>
          <w:b w:val="false"/>
          <w:i w:val="false"/>
          <w:caps w:val="false"/>
          <w:smallCaps w:val="false"/>
          <w:sz w:val="20"/>
        </w:rPr>
        <w:t xml:space="preserve">, or “SAFE Circular 37.” According to SAFE Circular 37, prior registration with the local SAFE branch is required for mainland China residents, (including individuals and corporate entities, as well as foreign individuals that are deemed to be mainland China residents for foreign exchange administration purpose), in connection with their direct or indirect contribution of domestic assets or interests to offshore special purpose vehicles, or “SPVs.” SAFE Circular 37 further requires amendments to the SAFE registrations in the event of any changes with respect to the basic information of the offshore SPV, such as change of a mainland China individual shareholder, SPV name and operation term, or any significant changes with respect to the offshore SPV, such as an increase or decrease of capital contribution, share transfer or exchange, or mergers or divisions. SAFE Circular 37 is applicable to our shareholders who are mainland China residents and may be applicable to any offshore acquisitions that we make in the future. In February 2015, SAFE promulgated a </w:t>
      </w:r>
      <w:r>
        <w:rPr>
          <w:rFonts w:ascii="Times New Roman;Times;Serif" w:hAnsi="Times New Roman;Times;Serif"/>
          <w:b w:val="false"/>
          <w:i/>
          <w:caps w:val="false"/>
          <w:smallCaps w:val="false"/>
          <w:sz w:val="20"/>
        </w:rPr>
        <w:t>Notice on Further Simplifying and Improving Foreign Exchange Administration Policy on Direct Investment</w:t>
      </w:r>
      <w:r>
        <w:rPr>
          <w:rFonts w:ascii="Times New Roman;Times;Serif" w:hAnsi="Times New Roman;Times;Serif"/>
          <w:b w:val="false"/>
          <w:i w:val="false"/>
          <w:caps w:val="false"/>
          <w:smallCaps w:val="false"/>
          <w:sz w:val="20"/>
        </w:rPr>
        <w:t>, or “SAFE Notice 13,” effective in June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SAFE Circular 37 and SAFE Notice 13, our ability to conduct foreign exchange activities in mainland China may be subject to the interpretation and enforcement of </w:t>
      </w:r>
      <w:r>
        <w:rPr>
          <w:rFonts w:ascii="Times New Roman;Times;Serif" w:hAnsi="Times New Roman;Times;Serif"/>
          <w:b w:val="false"/>
          <w:i/>
          <w:caps w:val="false"/>
          <w:smallCaps w:val="false"/>
          <w:sz w:val="20"/>
        </w:rPr>
        <w:t xml:space="preserve">the Administrative Measures for Individual Foreign Exchange </w:t>
      </w:r>
      <w:r>
        <w:rPr>
          <w:rFonts w:ascii="Times New Roman;Times;Serif" w:hAnsi="Times New Roman;Times;Serif"/>
          <w:b w:val="false"/>
          <w:i w:val="false"/>
          <w:caps w:val="false"/>
          <w:smallCaps w:val="false"/>
          <w:sz w:val="20"/>
        </w:rPr>
        <w:t>and its implementing rule promulgated by the People’s Bank of China and SAFE in December 2006 and January 2007, respectively (as amended and supplemented, the “Individual Foreign Exchange Rules”). Under the Individual Foreign Exchange Rules, any mainland China individual seeking to make a direct investment overseas or engage in the issuance or trading of negotiable securities or derivatives overseas must make the appropriate registrations in accordance with SAFE provisions, the failure of which may subject such mainland China individual to warnings, fines, or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informed of the identities of all the mainland China residents holding direct or indirect interest in our company, and we have no control over any of our future beneficial owners. Thus, we cannot provide any assurance that our current or future mainland China resident beneficial owners will comply with our request to make or obtain any applicable registrations or continuously comply with all registration procedures set forth in these SAFE regulations. Such failure or inability of our mainland China residents beneficial owners to comply with these SAFE regulations may subject us or our mainland China resident beneficial owners to fines and legal sanctions, restrict our cross-border investment activities, or limit our PRC subsidiary’s ability to distribute dividends to or obtain foreign-exchange-dominated loans from us, or prevent us from being able to make distributions or pay dividends, as a result of which our business operations and our ability to distribute profits to you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and other distributions on equity paid by our PRC subsidiary to fund any cash and financing requirements we may have, and any limitation on the ability of our PRC subsidiary to make payments to us could have a material and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we rely principally on dividends and other distributions on equity from our PRC subsidiary for our cash requirements, including for the servicing of any debt we may incur. Our PRC subsidiary’s ability to distribute dividends is based upon its distributable earnings. Current PRC laws and regulations permit our PRC subsidiary to pay dividends to its shareholders only out of its accumulated profits, if any, determined in accordance with PRC accounting standards and regulations. In addition, our PRC subsidiary is required to set aside at least 10% of its after-tax profits each year, if any, to fund a statutory reserve until such reserve reaches 50% of its registered capital. Our PRC subsidiary, as a foreign-invested enterprise, or “FIE,” is also required to further set aside a portion of its after-tax profits to fund the employee welfare fund, although the amount to be set aside, if any, is determined at its discretion. These reserves are not distributable as cash dividends. If our PRC subsidiary incurs debt on its own behalf in the future, the instruments governing the debt may restrict its ability to pay dividends or make other payments to us. Any limitation on the ability of our PRC subsidiary to distribute dividends or other payments to its shareholders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Enterprise Income Tax Law (“EIT Law”) and its implementation rules provide that a withholding tax rate of up to 10% will be applicable to dividends payable by Chinese companies to their enterprise shareholders who are not mainland China resident enterprises, unless otherwise exempted or reduced pursuant to treaties or arrangements between the PRC central government and governments of other countries or regions where the non-PRC resident enterprises are incorporated. See “Item 8. Financial Information—A. Consolidated Statements and Other Financial Information—Dividend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laws and regulation of parent/subsidiary loans and direct investment by offshore holding companies to PRC entities may delay or prevent us from using the proceeds of our public offerings to make loans or additional capital contributions to our PRC subsidiary,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we are permitted to utilize the proceeds from our share offerings to fund our PRC subsidiary by making loans or providing additional capital contributions to our PRC subsidiary, subject to applicable government registration, statutory limitations on amount, and approval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loans made to CCSC Interconnect DG, which is treated as a foreign-invested enterprise under PRC law, are subject to PRC laws and regulations and foreign exchange loan registration requirements. For example, loans made by us to CCSC Interconnect DG to finance its activities cannot exceed statutory limits and must be registered with the local counterpart of SAFE or filed with SAFE in its information system. Pursuant to relevant PRC laws and regulations, we may provide loans to CCSC Interconnect DG in an amount up to the greater of (i) the balance between the registered total investment amount and the registered capital of CCSC Interconnect DG, or (ii) an amount equal to 3.5 times the net assets of CCSC Interconnect DG, calculated in accordance with the </w:t>
      </w:r>
      <w:r>
        <w:rPr>
          <w:rFonts w:ascii="Times New Roman;Times;Serif" w:hAnsi="Times New Roman;Times;Serif"/>
          <w:b w:val="false"/>
          <w:i/>
          <w:caps w:val="false"/>
          <w:smallCaps w:val="false"/>
          <w:sz w:val="20"/>
        </w:rPr>
        <w:t xml:space="preserve">Circular on Full-Coverage Macro-Prudent Management of Cross-Border Financing </w:t>
      </w:r>
      <w:r>
        <w:rPr>
          <w:rFonts w:ascii="Times New Roman;Times;Serif" w:hAnsi="Times New Roman;Times;Serif"/>
          <w:b w:val="false"/>
          <w:i w:val="false"/>
          <w:caps w:val="false"/>
          <w:smallCaps w:val="false"/>
          <w:sz w:val="20"/>
        </w:rPr>
        <w:t xml:space="preserve">(the “PBOC Circular 9”), the </w:t>
      </w:r>
      <w:r>
        <w:rPr>
          <w:rFonts w:ascii="Times New Roman;Times;Serif" w:hAnsi="Times New Roman;Times;Serif"/>
          <w:b w:val="false"/>
          <w:i/>
          <w:caps w:val="false"/>
          <w:smallCaps w:val="false"/>
          <w:sz w:val="20"/>
        </w:rPr>
        <w:t xml:space="preserve">Circular on Adjusting the Macro-Prudent Adjustment Parameter for Full-Covered Cross-Border Financing </w:t>
      </w:r>
      <w:r>
        <w:rPr>
          <w:rFonts w:ascii="Times New Roman;Times;Serif" w:hAnsi="Times New Roman;Times;Serif"/>
          <w:b w:val="false"/>
          <w:i w:val="false"/>
          <w:caps w:val="false"/>
          <w:smallCaps w:val="false"/>
          <w:sz w:val="20"/>
        </w:rPr>
        <w:t>(the “PBOC Circular 64”)</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Circular on Adjusting the Macro-Prudent Adjustment Parameter for Cross-Border Financing </w:t>
      </w:r>
      <w:r>
        <w:rPr>
          <w:rFonts w:ascii="Times New Roman;Times;Serif" w:hAnsi="Times New Roman;Times;Serif"/>
          <w:b w:val="false"/>
          <w:i w:val="false"/>
          <w:caps w:val="false"/>
          <w:smallCaps w:val="false"/>
          <w:sz w:val="20"/>
        </w:rPr>
        <w:t>(the “PBOC Circular 5”)</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Moreover, any medium- or long-term loan to be provided by us to CCSC Interconnect DG must also be filed and registered with the National Development and Reform Commission (“NDRC”). We may also elect to finance CCSC Interconnect DG by means of capital contributions. Such capital contributions must be recorded with the Ministry of Commerce of the People’s Republic of China (“MOFCOM”) or its local counterpart, and the local market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30, 2015, SAFE issued the </w:t>
      </w:r>
      <w:r>
        <w:rPr>
          <w:rFonts w:ascii="Times New Roman;Times;Serif" w:hAnsi="Times New Roman;Times;Serif"/>
          <w:b w:val="false"/>
          <w:i/>
          <w:caps w:val="false"/>
          <w:smallCaps w:val="false"/>
          <w:sz w:val="20"/>
        </w:rPr>
        <w:t>Circular of the State Administration of Foreign Exchange on Reforming the Administrative Approach Regarding the Settlement of the Foreign Exchange Capital of Foreign-invested Enterprise</w:t>
      </w:r>
      <w:r>
        <w:rPr>
          <w:rFonts w:ascii="Times New Roman;Times;Serif" w:hAnsi="Times New Roman;Times;Serif"/>
          <w:b w:val="false"/>
          <w:i w:val="false"/>
          <w:caps w:val="false"/>
          <w:smallCaps w:val="false"/>
          <w:sz w:val="20"/>
        </w:rPr>
        <w:t xml:space="preserve">s, or “SAFE Circular 19,” which took effect on June 1, 2015. Pursuant to SAFE Circular 19, up to 100% of the foreign currency capital of a foreign-invested enterprise may be converted into RMB capital in accordance with the actual operations and within the business scope of the enterprise at its discretion. Although SAFE Circular 19 permits the use of RMB converted from foreign currency-denominated capital for equity investments in mainland China, restrictions continue to apply with respect to a foreign-invested enterprise’s use of such converted RMB for purposes beyond its business scope, for entrusted loans, or for the repayment of inter-company RMB loans. On June 9, 2016, SAFE promulgated the </w:t>
      </w:r>
      <w:r>
        <w:rPr>
          <w:rFonts w:ascii="Times New Roman;Times;Serif" w:hAnsi="Times New Roman;Times;Serif"/>
          <w:b w:val="false"/>
          <w:i/>
          <w:caps w:val="false"/>
          <w:smallCaps w:val="false"/>
          <w:sz w:val="20"/>
        </w:rPr>
        <w:t>Notice of the State Administration of Foreign Exchange on Reforming and Standardizing the Foreign Exchange Settlement Management Policy of Capital Account</w:t>
      </w:r>
      <w:r>
        <w:rPr>
          <w:rFonts w:ascii="Times New Roman;Times;Serif" w:hAnsi="Times New Roman;Times;Serif"/>
          <w:b w:val="false"/>
          <w:i w:val="false"/>
          <w:caps w:val="false"/>
          <w:smallCaps w:val="false"/>
          <w:sz w:val="20"/>
        </w:rPr>
        <w:t xml:space="preserve">, or “SAFE Circular 16,” effective on June 9, 2016, which reiterates certain rules set forth in SAFE Circular 19 but changes the prohibition against using RMB capital converted from the foreign currency-denominated registered capital of a foreign-invested company to issue RMB entrusted loans or repay inter-company loans to a prohibition against using such capital to issue loans to non-affiliated enterprises. On October 23, 2019, SAFE issued the </w:t>
      </w:r>
      <w:r>
        <w:rPr>
          <w:rFonts w:ascii="Times New Roman;Times;Serif" w:hAnsi="Times New Roman;Times;Serif"/>
          <w:b w:val="false"/>
          <w:i/>
          <w:caps w:val="false"/>
          <w:smallCaps w:val="false"/>
          <w:sz w:val="20"/>
        </w:rPr>
        <w:t>Notice of the State Administration of Foreign Exchange on Further Facilitating Cross-border Trade and Investment</w:t>
      </w:r>
      <w:r>
        <w:rPr>
          <w:rFonts w:ascii="Times New Roman;Times;Serif" w:hAnsi="Times New Roman;Times;Serif"/>
          <w:b w:val="false"/>
          <w:i w:val="false"/>
          <w:caps w:val="false"/>
          <w:smallCaps w:val="false"/>
          <w:sz w:val="20"/>
        </w:rPr>
        <w:t>, which, among other things, expanded the permissible use of foreign exchange capital to the domestic equity investment area. Non-investment foreign-funded enterprises are permitted to lawfully make domestic equity investments without violating the prevailing special administrative measures for access of foreign investments (negative list) and subject to the authenticity and compliance requirements applicable to domestic investment projects. If our PRC subsidiary requires financial support from us in the future and we determine it is necessary to use foreign currency-denominated capital to provide such support, our ability to fund our PRC subsidiary’s operations will be subject to the statutory limits and restrictions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various requirements imposed by PRC laws and regulations on loans to, and direct investment in, PRC entities by offshore holding companies, including SAFE Circular 19, SAFE Circular 16, and other relevant rules and regulations, we cannot assure you that we will be able to complete the necessary registrations or obtain the necessary government approvals on a timely basis, if at all, with respect to future loans to our PRC subsidiary or future capital contributions by us to our PRC subsidiary. If we fail to complete such registrations or obtain such approvals, our ability to use the proceeds we have received or expect to receive from our offshore offerings and to capitalize or otherwise fund our PRC operations may be adversely affected, which could materially and adversely affect our business, including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between the RMB and other currencies could have a material and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RMB against the U.S. dollar and other currencies may fluctuate and is affected by, among other things, changes in political and economic conditions in China and by China’s foreign exchange policies. On July 21, 2005, the competent PRC government changed its decade-old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Since June 2010, the RMB has fluctuated against the U.S. dollar, at times significantly and unpredictably. It is difficult to predict how market forces or PRC or U.S. government policy may impact the exchange rate between the RMB and the U.S. dollar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amount of our business is conducted in mainland China by CCSC Interconnect DG, the books and records of which are maintained in RMB. The financial statements that we file with the SEC and provide to our shareholders are presented in U.S. dollars. Changes in the exchange rates between the RMB and U.S. dollar affect the value of our assets and the results of our operations, when presented in U.S. dollars. The value of the RMB against the U.S. dollar and other currencies may fluctuate and is affected by, among other things, changes in the PRC’s political and economic conditions and perceived changes in the economy of the PRC and the United States. Any significant revaluation of the RMB may materially and adversely affect our cash flows, revenue, and financial condition. Further, our Class A Ordinary Shares are offered in U.S. dollars, and we will need to convert the net proceeds we receive into RMB in order to use the funds for our business. Changes in the conversion rate between the U.S. dollar and the RMB will affect the amount of proceeds we will have available for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limited hedging options are available in China to reduce our exposure to exchange rate fluctuations. To date, we have not entered into any hedging transactions in an effort to reduce our exposure to foreign currency exchange risk. While we may decide to enter into more hedging transactions in the future, the availability and effectiveness of these hedges may be limited and we may not be able to adequately hedge our exposure, or at all. In addition, our currency exchange losses may be magnified by PRC exchange control laws and regulations that restrict our ability to convert RMB into foreign currency. As a result, fluctuations in exchange rates may have a material adverse effect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and restriction on currency exchange may limit our ability to utilize our revenues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revenues generated by our PRC subsidiary are denominated in Renminbi. The Renminbi is currently convertible under the “current account,” which includes dividends, trade and service-related foreign exchange transactions, but not under the “capital account,” which includes foreign direct investment and loans, including loans that we may secure from our onshore subsidiaries. Currently, our PRC subsidiary may purchase foreign currency for settlement of “current account transactions,” including payment of dividends to us, without the approval of SAFE by complying with certain procedural requirements. However, the relevant PRC governmental authorities may limit or eliminate our ability to purchase foreign currencies in the future for current account transactions. Since we expect a significant portion of our future revenue will be denominated in Renminbi, any existing and future restrictions on currency exchange may limit our ability to utilize revenue generated in Renminbi to fund our business activities outside of mainland China and/or transfer cash out of mainland China to pay dividends in foreign currencies to our shareholders. Foreign exchange transactions under the capital account remain subject to limitations and require approvals from, or registration with, SAFE and other relevant PRC governmental authorities. This could affect our ability to obtain foreign currency through debt or equity financing for our subsidiary. In addition, there can be no assurance that the competent PRC government will not intervene or impose restrictions on our ability to transfer or distribute cash within our organization or to foreign investors, which could result in an inability or prohibition on making transfers or distributions outside of mainland China and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cash or assets of our business, or of our PRC or Hong Kong subsidiaries, are in mainland China or Hong Kong, such cash or assets may not be available to fund operations or for other use outside of the PRC or Hong Kong, due to interventions in or the imposition of restrictions and limitations by the PRC government on the transfer of cash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funds and assets among CCSC Cayman, its Hong Kong and PRC subsidiaries is subject to governmental control and restriction. The competent PRC government imposes controls on the conversion of the RMB into foreign currencies and the remittance of currencies out of mainland China. In addition, the PRC EIT Law and its implementation rules provide that a withholding tax at a rate of 10% will be applicable to dividends payable by Chinese companies to enterprises that are not mainland China resident enterprises, unless otherwise reduced pursuant to treaties or arrangements between the PRC central government and the governments of other countries or regions where such enterprises are tax 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there are no restrictions or limitations imposed by the Hong Kong government on the transfer of capital within, into, and out of Hong Kong (including funds from Hong Kong to mainland China), except in connection with transfers of funds involving money laundering or criminal activities. However, there is no guarantee that the Hong Kong government will not promulgate new laws or regulations that may impose such restrictions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to the extent cash or assets of our business, or of our PRC or Hong Kong subsidiaries, are in mainland China or Hong Kong, such funds or assets may not be available to fund operations or for other use outside of the PRC or Hong Kong, due to interventions in or the imposition of restrictions and limitations by the competent PRC government on the transfer of cash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uncertainties under the PRC Securities Law relating to the procedures and requisite timing for the U.S. securities regulatory agencies to conduct investigations and collect evidence within the territory of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28, 2019, the amended </w:t>
      </w:r>
      <w:r>
        <w:rPr>
          <w:rFonts w:ascii="Times New Roman;Times;Serif" w:hAnsi="Times New Roman;Times;Serif"/>
          <w:b w:val="false"/>
          <w:i/>
          <w:caps w:val="false"/>
          <w:smallCaps w:val="false"/>
          <w:sz w:val="20"/>
        </w:rPr>
        <w:t>Securities Law of the People’s Republic of China</w:t>
      </w:r>
      <w:r>
        <w:rPr>
          <w:rFonts w:ascii="Times New Roman;Times;Serif" w:hAnsi="Times New Roman;Times;Serif"/>
          <w:b w:val="false"/>
          <w:i w:val="false"/>
          <w:caps w:val="false"/>
          <w:smallCaps w:val="false"/>
          <w:sz w:val="20"/>
        </w:rPr>
        <w:t xml:space="preserve"> (the “PRC Securities Law”) was promulgated, which became effective on March 1, 2020. According to Article 177 of the </w:t>
      </w:r>
      <w:r>
        <w:rPr>
          <w:rFonts w:ascii="Times New Roman;Times;Serif" w:hAnsi="Times New Roman;Times;Serif"/>
          <w:b w:val="false"/>
          <w:i/>
          <w:caps w:val="false"/>
          <w:smallCaps w:val="false"/>
          <w:sz w:val="20"/>
        </w:rPr>
        <w:t>PRC Securities Law</w:t>
      </w:r>
      <w:r>
        <w:rPr>
          <w:rFonts w:ascii="Times New Roman;Times;Serif" w:hAnsi="Times New Roman;Times;Serif"/>
          <w:b w:val="false"/>
          <w:i w:val="false"/>
          <w:caps w:val="false"/>
          <w:smallCaps w:val="false"/>
          <w:sz w:val="20"/>
        </w:rPr>
        <w:t xml:space="preserve"> (“Article 177”), the securities regulatory authority of the State Council may establish a regulatory cooperation mechanism with securities regulatory authorities of another country or region for the implementation of cross-border supervision and administration. Article 177 further provides that overseas securities regulatory authorities shall not engage in activities pertaining to investigations or evidence collection directly conducted within the territories of mainland China, and that no Chinese entities or individuals shall provide documents and information in connection with securities business activities to any organizations and/or persons abroad without the prior consent of the securities regulatory authority of the State Council and the competent departments of the State Council. As of the date of this annual report, we are not aware of any implementing rules or regulations that have been published with respect to the application of Article 177.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other hand, the Trial Measures of the CSRC stipulate in Article 26 that “[w]here an overseas securities regulatory agency intends to carry out investigation and evidence collection regarding overseas offering and listing activities by a domestic company, and request assistance of the CSRC under relevant cross-border securities regulatory cooperation mechanisms, the CSRC may provide necessary assistance in accordance with law. Any domestic entity or individual providing documents and materials requested by an overseas securities regulatory agency for investigative or evidence collection purposes, shall not provide such information without prior approval from the CSRC and competent authorities under the State Council.” Article 26 of the Trial Measures provides a clearer roadmap as to how overseas securities regulatory authorities may conduct investigation and/or evidence collection relating to PRC companies’ overseas offering and listing activities under Article 177.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PRC counsel, JT&amp;N, Article 177 is only applicable where the activities of overseas authorities constitute a direct investigation or evidence collection by such authorities within the territory of mainland China. Our principal business operation is conducted in the PRC. In the event that the U.S. securities regulatory agencies carry out an investigation on us, such as an enforcement action by the Department of Justice, the SEC, or other authorities, such agencies’ activities will constitute an investigation or evidence collection directly within the territory of mainland China and, accordingly, will fall within the scope of Article 177. In that case, the U.S. securities regulatory agencies may have to consider establishing cross-border cooperation with the competent securities regulatory authorities of the PRC by way of judicial assistance, diplomatic channels, or the establishment of a regulatory cooperation mechanism with the competent securities regulatory authority of the PRC. However, there is no assurance that the U.S. securities regulatory agencies will succeed in establishing such cross-border cooperation in this particular case and/or establish such cooperation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of the date of this annual report, there are no implementing rules or regulations regarding the application of Article 177, and it remains unclear as to how Article 177 will be interpreted, implemented, or applied by the CSRC or other relevant government authorities. As such, there are uncertainties as to the procedures and requisite timing for the U.S. securities regulatory agencies to conduct investigations and collect evidence within the territory of mainland China. If the U.S. securities regulatory agencies are unable to conduct such investigations, there exists a risk that they may determine to suspend or de-register our registration with the SEC and may also delist our securities from Nasdaq or other applicable trading market within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EIT Law, we may be classified as a mainland China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which became effective in January 2008, an enterprise established outside mainland China with “de facto management bodies” within mainland China is considered a “resident enterprise” for PRC enterprise income tax purposes and is generally subject to a uniform 25% enterprise income tax rate on its worldwide income. Under the implementation rules to the EIT Law, a “de facto management body” is defined as a body that has material and overall management and control over the manufacturing and business operations, personnel and human resources, finances, and properties of an enterprise. In addition, a circular known as SAT Circular 82, issued in April 2009 by the State Administration of Taxation (the “SAT”), specifies that certain offshore incorporated enterprises controlled by enterprises or enterprise groups that are mainland China resident enterprises will be classified as mainland China resident enterprises if the following are located or resident in mainland China: (i) senior management personnel and departments that are responsible for daily production, operation, and management; (ii) financial and personnel decision-making bodies; (iii) key properties, accounting books, company seal, and minutes of board meetings and shareholders’ meetings; and (iv) half or more of the senior management or directors having voting rights. Further to SAT Circular 82, the SAT issued a bulletin known as SAT Bulletin 45, which took effect in September 2011, to provide more guidance on the implementation of SAT Circular 82 and to clarify the reporting and filing obligations of such “Chinese-controlled offshore incorporated resident enterprises.” SAT Bulletin 45 provides procedures and administrative details for the determination of resident status and administration on post-determination matters. Although both SAT Circular 82 and SAT Bulletin 45 only apply to offshore enterprises controlled by enterprises or enterprise groups that are mainland China resident enterprises, and not those controlled by mainland China individuals or foreign individuals, the determining criteria set forth in SAT Circular 82 and SAT Bulletin 45 may reflect the SAT’s general position on how the “de facto management body” test should be applied in determining the tax resident status of offshore enterprises, regardless of whether they are controlled by enterprises or enterprise groups that are mainland China resident enterprises, or by mainland China or foreign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competent PRC tax authorities determine that we meet all the criteria set forth in SAT Circular 82 and that the actual management organ of the Company is therefore within the territory of mainland China, we may be deemed to be a mainland China resident enterprise for PRC enterprise income tax purposes, and a number of unfavorable PRC tax consequences could follow. First, we will be subject to the uniform 25% enterprise income tax on our worldwide income, which could materially reduce our net income. In addition, we will also be subject to PRC enterprise income tax reporting obligations. Finally, dividends payable by us to our investors and gains on the sale of our shares may become subject to PRC withholding tax, at a rate of 10% in the case of enterprises that are not mainland China resident enterprises, or 20% in the case of individuals who are not mainland China residents (in each case, subject to the provisions of any applicable tax treaty), if such gains are deemed to be sourced from mainland China. It is unclear whether shareholders of our company that are not mainland China residents would be able to claim the benefits of any tax treaties between their country of tax residence and mainland China in the event that we are treated as a mainland China resident enterprise. Any such tax may reduce the returns on your investment in our shares. Although, as of the date of this annual report, we have not been notified or informed by the competent PRC tax authorities that we have been deemed to be a resident enterprise for the purpose of the EIT Law, we cannot assure you that we will not be deemed to be a resident enterprise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uncertainty with respect to indirect transfers of equity interests in mainland China resident enterprises by their holding companies that are not mainland China resident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2015, SAT issued a </w:t>
      </w:r>
      <w:r>
        <w:rPr>
          <w:rFonts w:ascii="Times New Roman;Times;Serif" w:hAnsi="Times New Roman;Times;Serif"/>
          <w:b w:val="false"/>
          <w:i/>
          <w:caps w:val="false"/>
          <w:smallCaps w:val="false"/>
          <w:sz w:val="20"/>
        </w:rPr>
        <w:t>Public Notice Regarding Certain Corporate Income Tax Matters on Indirect Transfer of Properties by Non-Tax Resident Enterprises</w:t>
      </w:r>
      <w:r>
        <w:rPr>
          <w:rFonts w:ascii="Times New Roman;Times;Serif" w:hAnsi="Times New Roman;Times;Serif"/>
          <w:b w:val="false"/>
          <w:i w:val="false"/>
          <w:caps w:val="false"/>
          <w:smallCaps w:val="false"/>
          <w:sz w:val="20"/>
        </w:rPr>
        <w:t xml:space="preserve">, or “SAT Circular 7.” SAT Circular 7 provides comprehensive guidelines relating to indirect transfers of PRC taxable assets (including equity interests and real properties of a PRC resident enterprise) by a non-resident enterprise. In addition, in October 2017, SAT issued an </w:t>
      </w:r>
      <w:r>
        <w:rPr>
          <w:rFonts w:ascii="Times New Roman;Times;Serif" w:hAnsi="Times New Roman;Times;Serif"/>
          <w:b w:val="false"/>
          <w:i/>
          <w:caps w:val="false"/>
          <w:smallCaps w:val="false"/>
          <w:sz w:val="20"/>
        </w:rPr>
        <w:t>Announcement on Issues Relating to Withholding at Source of Income Tax of Non-resident Enterprises</w:t>
      </w:r>
      <w:r>
        <w:rPr>
          <w:rFonts w:ascii="Times New Roman;Times;Serif" w:hAnsi="Times New Roman;Times;Serif"/>
          <w:b w:val="false"/>
          <w:i w:val="false"/>
          <w:caps w:val="false"/>
          <w:smallCaps w:val="false"/>
          <w:sz w:val="20"/>
        </w:rPr>
        <w:t>, or “SAT Circular 37,” effective in December 2017, which, among others, amended certain provisions in SAT Circular 7 and further clarified the tax payable declaration obligation of non-resident enterprises. Indirect transfers of equity interests and/or real properties in a PRC resident enterprise by their non-PRC holding companies are subject to SAT Circular 7 and SAT Circular 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 Circular 7 provides clear criteria for an assessment of reasonable commercial purposes and has introduced safe harbors for internal group restructurings and the purchase and sale of equity through a public securities market. As stipulated in SAT Circular 7, indirect transfers of PRC taxable assets are considered to involve reasonable commercial purposes if the shareholding structure of both transaction parties falls within the following situations: (i) the transferor directly or indirectly owns 80% or above of the equity interest of the transferee, or vice versa; (ii) the transferor and the transferee are both 80% or above directly or indirectly owned by the same party; or (iii) the percentages in items (i) and (ii) shall be 100% if over 50% of the share value of a foreign enterprise is directly or indirectly derived from real properties in mainland China. Furthermore, SAT Circular 7 also imposes obligations on both the foreign transferor and the transferee (or other person who is obligated to pay for the transfer) of taxable assets. Where a non-resident enterprise transfers PRC taxable assets indirectly by disposing of the equity interests of an overseas holding company (an “indirect transfer”), the non-resident enterprise as either transferor or transferee, or the PRC entity that directly owns the taxable assets, may report such indirect transfer to the relevant tax authority, and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mainland China resident enterprise. Both the transferor and the transferee may be subject to penalties under PRC tax laws if the transferee fails to withhold the taxes and the transferor fails to pay the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SAT Circular 37, where the non-resident enterprise fails to declare the tax payable pursuant to Article 39 of the EIT Law, the tax authority may order it to pay the tax due within the required time limits, and the non-resident enterprise shall declare and pay the tax payable within such time limits as specified by the tax authority. If the non-resident enterprise, however, voluntarily declares and pays the tax payable before the tax authority orders it to do so within the required time limits, it shall be deemed that such enterprise has paid the tax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with respect to the reporting obligations and assessment of reasonable commercial purposes in connection with future transactions involving taxable assets in mainland China, such as offshore restructuring, sale of shares in our offshore subsidiaries, and investments. In the event that an indirect transfer transaction is determined to lack reasonable commercial purpose, we may be subject to filing obligations or taxed if we are a transferor in such transactions, and may be subject to withholding obligations (i.e., a withholding tax at a rate of 10% for the transfer of equity interests) if we are a transferee in such transactions, under SAT Circular 7 and SAT Circular 37. For transfers of shares by investors who are not mainland China resident enterprises, our PRC subsidiary may be requested to assist in the filing under the SAT circulars. As a result, we may be required to expend valuable resources to comply with the SAT circulars, to request the relevant transferors from whom we purchase taxable assets to comply with these circulars, or to establish that we should not be taxed under these circulars, any of which may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significant uncertainties under the EIT Law relating to the withholding tax liabilities of CCSC Interconnect DG, and dividends payable by CCSC Interconnect DG to our offshore subsidiaries may not qualify to enjoy certain treaty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EIT Law and its implementation rules, the profits of a foreign-invested enterprise generated through operations, which are distributed to its immediate holding company outside mainland China, will be subject to a withholding tax rate of 10%. Pursuant to the </w:t>
      </w:r>
      <w:r>
        <w:rPr>
          <w:rFonts w:ascii="Times New Roman;Times;Serif" w:hAnsi="Times New Roman;Times;Serif"/>
          <w:b w:val="false"/>
          <w:i/>
          <w:caps w:val="false"/>
          <w:smallCaps w:val="false"/>
          <w:sz w:val="20"/>
        </w:rPr>
        <w:t>Arrangement between the Mainland China and the Hong Kong Special Administrative Region for the Avoidance of Double Taxation and Tax Evasion on Income</w:t>
      </w:r>
      <w:r>
        <w:rPr>
          <w:rFonts w:ascii="Times New Roman;Times;Serif" w:hAnsi="Times New Roman;Times;Serif"/>
          <w:b w:val="false"/>
          <w:i w:val="false"/>
          <w:caps w:val="false"/>
          <w:smallCaps w:val="false"/>
          <w:sz w:val="20"/>
        </w:rPr>
        <w:t>, or the “Double Tax Avoidance Arrangement,” a withholding tax rate of 10% may be lowered to 5% if the mainland China enterprise is at least 25% held by a Hong Kong enterprise for at least 12 consecutive months prior to distribution of the dividends and is determined by the relevant PRC tax authority to have satisfied other conditions and requirements under the Double Tax Avoidance Arrangement and other applicable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based on the </w:t>
      </w:r>
      <w:r>
        <w:rPr>
          <w:rFonts w:ascii="Times New Roman;Times;Serif" w:hAnsi="Times New Roman;Times;Serif"/>
          <w:b w:val="false"/>
          <w:i/>
          <w:caps w:val="false"/>
          <w:smallCaps w:val="false"/>
          <w:sz w:val="20"/>
        </w:rPr>
        <w:t>Circular on Certain Issues with Respect to the Enforcement of Dividend Provisions in Tax Treaties</w:t>
      </w:r>
      <w:r>
        <w:rPr>
          <w:rFonts w:ascii="Times New Roman;Times;Serif" w:hAnsi="Times New Roman;Times;Serif"/>
          <w:b w:val="false"/>
          <w:i w:val="false"/>
          <w:caps w:val="false"/>
          <w:smallCaps w:val="false"/>
          <w:sz w:val="20"/>
        </w:rPr>
        <w:t xml:space="preserve">, or the “SAT Circular 81,” which became effective on February 20, 2009, if the relevant PRC tax authorities determine, in their discretion, that a company benefits from such reduced income tax rate due to a structure or arrangement that is primarily tax-driven, such PRC tax authorities may adjust the preferential tax treatment. According to </w:t>
      </w:r>
      <w:r>
        <w:rPr>
          <w:rFonts w:ascii="Times New Roman;Times;Serif" w:hAnsi="Times New Roman;Times;Serif"/>
          <w:b w:val="false"/>
          <w:i/>
          <w:caps w:val="false"/>
          <w:smallCaps w:val="false"/>
          <w:sz w:val="20"/>
        </w:rPr>
        <w:t>the Circular on Several Issues regarding the “Beneficial Owner” in Tax Treaties</w:t>
      </w:r>
      <w:r>
        <w:rPr>
          <w:rFonts w:ascii="Times New Roman;Times;Serif" w:hAnsi="Times New Roman;Times;Serif"/>
          <w:b w:val="false"/>
          <w:i w:val="false"/>
          <w:caps w:val="false"/>
          <w:smallCaps w:val="false"/>
          <w:sz w:val="20"/>
        </w:rPr>
        <w:t>, which became effective as of April 1, 2018, when determining an applicant’s status as the “beneficial owner” regarding tax treatments in connection with dividends, interests, or royalties in the tax treaties, several factors will be taken into account. Such factors include whether the business operated by the applicant constitutes actual business activities, and whether the counterparty country or region to the tax treaties does not levy any tax, grant tax exemption on relevant incomes, or levy tax at an extremely low rate. This circular further requires any applicant who intends to be recognized as the “beneficial owner” to file relevant documents with the relevant tax authorities. CCSC Interconnect DG is wholly owned by our Hong Kong subsidiary, CCSC Technology Group. However, we cannot assure you that our determination regarding our qualification to enjoy the preferential tax treatment will not be challenged by the relevant PRC tax authority, or that we will be able to complete the necessary filings with the relevant PRC tax authority and enjoy the preferential withholding tax rate of 5% under the Double Tax Avoidance Arrangement with respect to dividends to be paid by CCSC Interconnect DG to CCSC Technology Group, in which case we would be subject to the higher withholding tax rate of 10% on dividends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M&amp;A Rules and certain other PRC regulations establish complex procedures for some acquisitions of Chinese companies by foreign investors, which could make it more difficult for us to pursue growth through acquisitions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establish procedures and requirements that could make merger and acquisition activities by foreign investors more time-consuming and complex. For example, the M&amp;A Rules require that the Ministry of Commerce be notified in advance of any change-of-control transaction in which a foreign investor takes control of a mainland China domestic enterprise if (i) any important industry is concerned, (ii) such transaction involves factors that have or may have an impact on national economic security, or (iii) such transaction will lead to a change in control of a domestic enterprise that holds a famous trademark or PRC time-honored brand. In addition, the security review rules issued by the Ministry of Commerce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Ministry of Commerce or its local counterparts, may delay or inhibit our ability to complete such transactions. It is unlikely that our business would be deemed to be in an industry that raises “national defense and security” or “national security” concerns. The Ministry of Commerce or other government agencies, however, may publish explanations in the future determining that our business is in an industry subject to the security review, in which case our future acquisitions in mainland China, including those by way of entering into contractual control arrangements with target entities, may be closely scrutinized or prohibited. Our ability to expand our business or maintain or expand our market share through future acquisitions could, in such case,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scrutiny, criticism, and negative publicity involving U.S.-listed Chinese companies, we may have to expend significant resources to investigate and resolve the matter which could harm our business operations, stock price,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substantially all of their operations in China have been the subject of intense scrutiny, criticism, and negative publicity by investors, financial commentators, and regulatory agencies, such as the SEC. Much of such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such scrutiny, criticism, and negative publicity, the publicly traded stock of many U.S.-listed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us, our business, or the price of our Class A Ordinary Shares. If we become the subject of any unfavorable allegations, whether or not such allegations are proven to be true, we will have to expend significant resources to investigate such allegations and/or defend our company. This situation would be costly and time-consuming and could distract our management from developing our business. If such allegations are not proven to be groundless, we and our business operations could be severely affected and you could sustain a significant decline in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disclosures in our reports and other filings with the SEC and our other public pronouncements may be subject to the scrutiny of any regulatory bodies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regulated by the SEC, and our reports and other filings with the SEC are subject to SEC review in accordance with the rules and regulations promulgated by the SEC under the Securities Act and the Exchange Act. Our SEC reports and other disclosure and public pronouncements are currently not subject to the review or scrutiny of any PRC regulatory authority. For example, the disclosure in our SEC reports and other filings are not subject to the review by the CSRC, a PRC regulator that is responsible for oversight of the capital markets in China. However, on February 17, 2023, with the approval of the State Council, the CSRC released the Trial Measures and five supporting guidelines, which came into effect on March 31, 2023. According to the Trial Measures, domestic companies that seek to offer or list securities overseas, both directly and indirectly, should fulfill the filing procedures and submit relevant documents, including the prospectus and other listing documents submitted to overseas regulatory authorities, to the CSRC. In compliance with the Trial Measures, we submitted our filing materials to the CSRC for our IPO. Upon examination of our filing materials, the CSRC notified us in writing that we are not subject to the filing requirement under the Trial Measures at this time. Based on such notice by the CSRC, we are not required to undertake the relevant filing and reporting requirements as stipulated in the Trial Measures. However, any new laws and regulations issued by the PRC authorities may subject us to additional compliance requirements, and we cannot assure you that the CSRC or other PRC authorities will not review or scrutinize our proposed offering and it is not clear how such scrutiny may affect our proposed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industry, and the scale and resources of some of our competitors may allow them to compete more effectively than we can, which could result in a loss of our market share and a decrease in our net revenues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and manufacture interconnect products, which is a highly competitive industry. We compete in various aspects, including value for money, user experience, breadth of product and service offerings, product functionality and quality, sales and distribution, supply chain management, customer loyalty, and engineering talent, among others. Intensified competition may result in pricing pressures and reduced profitability and may impede our ability to achieve sustainable growth in our revenues or cause us to lose market share. Our competitors may also engage in aggressive and negative marketing or public relations strategies which may harm our reputation and increase our marketing expenses. Any of these results could substantially harm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existing and potential competitors enjoy substantial competitive advantages, including: longer operating history, the capability to leverage their sales efforts and marketing expenditures across a broader portfolio of products, more established relationships with a larger number of suppliers, contract manufacturers and channel partners, access to larger and broader user bases, greater brand recognition, greater financial, research and development, marketing, distribution and other resources, more resources to make investments and acquisitions, larger intellectual property portfolios, and the ability to bundle competitive offerings with other products and services. We cannot assure you that we will compete with them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Escalating U.S.-China trade tensions and shifting international trade policies may increase our costs, disrupt supply chains, and adversely affect customer demand, thereby materially impacting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developments in global trade policy, particularly the heightened tensions between the United States and China, have introduced significant uncertainty into the international trade environment. Since 2025, the U.S. government has imposed and modified tariffs and undertaken other trade measures affecting imports from various countries and regions, including China, Canada, Mexico, and certain other jurisdictions. In response, certain countries have imposed, or may impose, reciprocal tariffs, trade restrictions, or other retaliatory measures. Additional tariff actions, sector-specific measures, or changes in trade policy may be implemented in the future. These escalating trade barriers, along with the possibility of further tariffs, export restrictions, or renegotiation of trade agreements, could adversely affect the demand for our products, limit our access to certain markets, or impair the competitiveness of our pricing. In particular, because our products are manufactured in mainland China through our PRC subsidiary, CCSC Interconnect DG, they are subject to tariffs imposed on Chinese-origin goods by importing countries. Such tariffs may reduce the price competitiveness of our products in key export markets, including the United States and Europe, which collectively accounted for the substantial majority of our revenue for the fiscal year ended March 31, 2026. Furthermore, the European Union may impose or expand retaliatory trade measures or import restrictions targeting Chinese-manufactured goods, which could materially and adversely affect our sales, given that Europe represented approximately 61.1% of our total revenue for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structure is sensitive to the prices of components and raw materials, which are subject to global commodity market conditions, supply chain disruptions, and transportation costs. With component costs representing over 65% of our total cost of sales, continued increases due to tariffs or supply chain inefficiencies may erode our gross margins. Furthermore, increased costs borne by our customers, particularly those with international exposure, could be passed on to us, potentially affecting our revenue and operating margins. Although we are taking measures to enhance our operational flexibility and evaluating alternative sourcing and technological solutions, we cannot guarantee that these measures will fully shield us from the broader economic and regulatory effects of the ongoing trade conflict and policy shifts. As a result, our business, financial condition, and results of operations could be materially and adversely affected by continued trade tensions, rising costs, and regulatory uncertainty in the global trade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disruption, termination or alteration of the supply of materials or components due to natural disasters, political and economic turmoil, or widespread disease or pandemics could materially and adversely affect the sales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supply of manufacturing materials and components such as copper, plastic, solder bars, solder wires, and printed circuit boards. We are reliant on a consistent supply of materials and components in order to maintain our manufacturing capability. If these suppliers experience production delays, we may receive a lower allocation of materials and parts than anticipated, or if the quality or design of their materials and parts changes, or if these manufacturers implement recalls, we could incur substantive costs or disruptions to our business, which could have a material adverse effect on our net sales, financial condition, profitability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volatility in the financial markets, generally, could impact the financial viability of our suppliers, or could cause them to exit certain business lines, or change the terms on which they are willing to provide products. Further, any changes in quality or design, capacity limitations, shipping impediments, shortages of raw materials or other problems could result in shortages or delays in the supply of the raw material and components to us. Our business, operating results and financial condition could suffer if our suppliers reduce output or introduce new parts that are incompatible with our current designs or manufacturing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public health crises could impair our ability to procure necessary materials and may also increase the cost of these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acquire new customers or retain existing customers, especially our large customers,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our existing customers, especially our large customers, has always been essential to our success. For the fiscal year ended March 31, 2026, there were two customers that contributed 16.4% and 10.1% to our revenue. For the fiscal year ended March 31, 2025, there were three customers that contributed 14.5%, 11.9%, and 10.4% to our revenue. For the fiscal year ended March 31, 2024, there were two customers that contributed 17.4% and 12.7% to our revenue. Apart from the major customers mentioned above, no other customers contributed more than 10% of our total revenue. Our supply agreements with our customers generally do not require them to purchase any products from us; rather, we receive purchase orders from our customers on a monthly basis. If our products or services do not meet the requirements of our customers, or if our competitors offer more attractive products, prices, or better customer service, our existing customers may reduce or cease their purchase orders with us. The termination of, or any material change to, purchase orders from our large customers could adversely affect our business and operating results. Furthermore, our ability to attract new customers is crucial to our growth. We have invested heavily in branding, sales, and marketing efforts to acquire and retain customers since our inception. For example, we frequently attend domestic and international expos and exhibitions in an effort to market our products and attract new customers. We also expect to continue to invest in our marketing and sales team to acquire new customers and retain existing customers. However, there can be no assurance that we will be able to acquire new customers despite our efforts. If we are unable to retain our existing customers or to acquire new customers in a cost-effective manner, our revenues may decrease and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the price of raw materials could impact our ability to sustain and grow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processes consume substantial amounts of raw materials, the costs of which may be subject to worldwide supply and demand factors, as well as other factors beyond our control, such as financial market trends and supply chain disruptions. Raw material price fluctuations may adversely affect our results. In particular, copper is the principal raw material used in the components that we source from our suppliers, accounting for a majority of the cost of sales. Our prevailing practice is to purchase these components at prices based on the average prevailing international spot market prices on the London Metal Exchange (the “LME”) for copper for the one month prior to purchase. The price of copper is affected by numerous factors beyond our control, including global economic and political conditions, supply and demand, inventory levels maintained by suppliers, actions of participants in the commodities markets, and currency exchange rates. As with other costs of production, changes in the price of copper may affect the Company’s cost of sales. Whether this has a material impact on our operating margins and financial results depends primarily on the Company’s ability to adjust selling prices to its customers, such that increases and decreases in the price of copper are fully reflected in those selling prices and customers continue to place orders. Most of our sales of manufactured products reflect the cost of copper used to manufacture those products at the time the products are ordered. In the ordinary course of business, we maintain inventories of raw materials and finished products reasonably necessary for the conduct of our business. These inventories typically reflect the cost of copper prevailing in the market at the time of purchase. A long-term decrease in the price of copper would require the Company to revalue its inventory at periodic intervals to the then-net realizable value, which could be below cost. Copper prices have been subject to considerable volatility, and it is not always possible to manage our copper purchases and inventory to neutralize the impact of copper price volatility. In addition, an excessive increase in the price of copper could result in fewer orders from customers. Accordingly, significant volatility in copper prices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engage in hedging transactions against raw material price fluctuations, but attempt to mitigate the short-term risks of price volatility by purchasing raw materials in advance based on forecasted production needs and/or reaching agreements with some of our suppliers to keep the cost of raw materials stable. We also attempt to lower the consumption of raw materials by reducing waste and using recycled materials whenever possible and without compromising product quality. In addition, we may pass increases in the costs of raw materials to customers by adjusting the selling price of our products. For example, as a result of global supply chain disruptions, the average cost of the components and materials used in our products increased by 12.7% per unit in the fiscal year ended March 31, 2026 as compared with the fiscal year ended March 31, 2025, decreased by 14.7% per unit in the fiscal year ended March 31, 2025 as compared to the fiscal year ended March 31, 2024, and increased by 8.5% per unit in the fiscal year ended March 31, 2024 as compared to the fiscal year ended March 31, 2023. The average selling price of our products increased by 11.4% per unit in the fiscal year ended March 31, 2026, decreased by 12.8% per unit in the fiscal year ended March 31, 2025, and increased by 9.7% per unit in the fiscal year ended March 31, 2024, to mitigate inflationary pressures. Although these strategies have helped mitigate the negative impact of raw material price fluctuations in the past, they may not be sufficient to provide adequate protection for our business in the future, and, as a result, our financial results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source our raw materials used for manufacturing from a limited number of suppliers. If we lose one or more of our suppliers, our operations may be disrupted, and our results of operations may be materially and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2025 and 2026, no supplier accounted for more than 10% of the total purchases made by the Company. For the fiscal year ended March 31, 2024, there was one supplier who accounted for 12.1% of the total purchases made by the Company. As we have a variety of options for supplies, and the technical demands of preparing most of our main supplies are relatively low, we do not anticipate difficulties in obtaining supplies to produce our products. However, if we lose suppliers and are unable to swiftly engage new suppliers, our operations may be disrupted or suspended, and we may not be able to deliver products to our customers on time. We may also have to pay a higher price to source materials from a different supplier on short notice. There is no guarantee that we will be able to locate appropriate new suppliers or supplier merger targets in our desired timeline. As such, our results of operations may be materially and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 of currency value fluctuations could impact our reported financial performance and our ability to sustain and grow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risks of doing business on a global scale, including fluctuations in foreign currencies. Our operating subsidiaries in Hong Kong, mainland China and the Netherlands use their respective currencies, which are Hong Kong dollar (“HK$”), Renminbi (“RMB”), Euro (“EUR”), and Serbian Dinar (“RSD”), as their functional currencies. The consolidated financial statements included elsewhere in this annual report are prepared in US$ for reporting purposes. In the past, fluctuations in currency exchange rates have affected our reported results of operations. For example, as a result of the fluctuations in currency exchange rates, we recorded a foreign currency translation adjustment in other comprehensive income of $430,117, due to the favorable exchange rate of our functional currencies towards the U.S. dollar for the fiscal year ended March 31, 2026, and we recorded a foreign currency translation adjustment in other comprehensive loss of $161,106 and $523,250, due to the unfavorable exchange rate of our functional currencies towards the U.S. dollar for the fiscal years ended March 31, 2025 and 2024. As such, fluctuations in currency exchange rates from period-to-period may result in significant period-over-period changes in our reported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due to our international operations, we may be required to purchase products or services with foreign currencies other than the currencies in which we normally conduct our operations. If the exchange rates for such currencies fluctuate in a manner that is unfavorable to us, our cost of sales may increase and we may be unable to shift the increase in the prices of the products or services we provide to our customers, which could have an adverse effect on our financial performance. For example, we recorded a foreign currency loss of $419,431, due to the unfavorable exchange rates for the fiscal year ended March 31, 2026, and a foreign currency gain of $67,395 and $425,308, due to favorable exchange rates for the fiscal years ended March 31, 2025 and 2024, respectively. Currency exchange rates may fluctuate significantly in the future, which could have a material effect on our results of operations, financial position and cash flows and impact the comparability of our results between financial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sources of working capital and may need substantial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working capital required to implement our business strategy and research and development (“R&amp;D”) efforts will most likely be provided by revenues generated by our business. No assurance can be given that we will have revenues sufficient to sustain our operations or that we would be able to obtain equity or debt financing in the current economic environment. If we do not have sufficient working capital and are unable to generate sufficient revenues or raise additional funds, we may delay the completion, or significantly reduce the scope, of our current business plan; delay some of our development or marketing efforts; postpone the hiring of new personnel; or, under certain dire financial circumstances, substantially curtail or cease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of approximately $4.09 million, total current assets of approximately $10.91 million, and total current liabilities of approximately $5.21 million. We may need to engage in capital-raising transactions in the near future. Such financing transactions may cause substantial dilution to our shareholders and could involve the issuance of securities with rights senior to the outstanding shares. Our ability to access additional financing is dependent on, among other things, the state of the capital markets at the time of any proposed offering, market reception of the Company and the likelihood of the success of its business model and offering terms. There is no assurance that we will be able to obtain any such additional capital through asset sales, equity or debt financing, or any combination thereof, on satisfactory terms or at all. Additionally, no assurance can be given that any such financing, if obtained, will be adequate to meet our capital needs and to support our operations. If we do not obtain adequate capital on a timely basis and on satisfactory terms, our revenues and operations and the value of our Class A Ordinary Shares and Class A Ordinary Share equivalents would be materially and adversely affected and we may cease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certain key personnel and loss of these key personnel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is, to a certain extent, attributable to the management, sales and marketing, and research and development expertise of key personnel. We do not carry key man life insurance for any of our key personnel, nor do we foresee purchasing such insurance to protect against the loss of key personnel. We are dependent upon the services of Dr. Chi Sing Chiu, Chairman of the board of directors of the Company, and Mr. Kung Lok Chiu, our Chief Executive Officer, for the continued growth and operation of our Company, due to their industry experience, technical expertise, as well as their personal and business contacts in the PRC. We may not be able to retain them for any given period of time. Although we have no reason to believe that Dr. Chi Sing Chiu or Mr. Kung Lok Chiu will discontinue their services with us, the interruption or loss of their services would adversely affect our ability to effectively run our business and pursue our business strategy as well as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dependent on the end markets, including industrial, automotive, robotics, medical equipment, computer, network and telecommunication, and consumer products, for the demand of its interconnect products, and is susceptible to negative trends relating to those industries that could adversely affect the Company’s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the Company’s products depends on the manufacturing needs for interconnect products of its customers in the various end markets, including industrial, automotive, robotics, medical equipment, computer, network and telecommunication, and consumer products. Therefore, the Company’s sales and profitability are susceptible to negative trends relating to those industries and will be affected by a variety of factors, including general economic conditions, consolidation within the industries, the financial condition of the Company’s customers and their access to financing, competition, technological developments, new legislation and regulations, among others. There can be no assurance that demand for the Company’s interconnect products will continue at the current level or not decrease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our ability to protect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relies on our ability to obtain and maintain patent protection for products developed using our technologies, both in the PRC and in other countries, and to enforce these patents. There is no guarantee that any of our existing or future patents will be considered valid and enforceable against third-party infringement, or that our products will not infringe any third-party patents or intellectual property. We currently have 61 valid patents registered with the China National Intellectual Property Administration, 2 valid patents registered with the Patent Registry Intellectual Property Department in Hong Kong, and 2 valid patents registered with Taiwan Intellectual Property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relating to our technologies may not be sufficiently broad to protect our products. In addition, our patents may be challenged, potentially invalidated or potentially circumvented. Our patents may not afford us protection against competitors with similar technology or permit the commercialization of our products without infringing third-party patents or other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or intend to rely, on our trademarks, trade names and brand names to distinguish our products from the products of our competitors, and have registered, or will apply to register, a number of these trademarks. However,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these new brands. Further, our competitors may infringe our trademarks, or we may not have adequate resources to enforce our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also have trade secrets, non-patented proprietary expertise and continuing technological innovation that we shall seek to protect, in part, by entering into confidentiality agreements with licensees, suppliers, employees and consultants. These agreements may be breached and there may not be adequate remedies in the event of a breach. Disputes may arise concerning the ownership of intellectual property or the applicability of confidentiality agreements. Moreover, our trade secrets and proprietary technology may otherwise become known or be independently developed by our competitors. If patents are not issued with respect to products arising from research, we may not be able to maintain the confidentiality of information relating to these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international operations subject the Company to additional business risks that may have a material adverse effect on the Company’s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headquarters is in Hong Kong, and conducts business through its subsidiaries established in mainland China, Hong Kong and the Netherlands. The Company’s products are currently sold to customers in more than 25 countries. Due to its international operations, the Company is subject to the risks of conducting business internationally, including unexpected changes in, or impositions of, legislative or regulatory requirements, which could materially adversely affect operating expenses, tariffs and other barriers and restrictions, potentially longer payment cycles, greater difficulty in accounts receivable collection, reduced or limited protection of intellectual property rights, potentially adverse taxes and the burdens of complying with a variety of international laws and communications standards. The Company is subject to foreign currency volatility, which could materially impact the Company’s operating results, including the impact of hyper-inflationary conditions in certain economies, particularly where exchange controls limit or eliminate the Company’s ability to convert from local currency. The Company is also subject to general geopolitical risks, such as political and economic instability, social unrest, terrorism and changes in diplomatic and trade relationships in connection with its international operations. Any such disruption could cause the loss of sales and customers. Moreover, these types of events could negatively impact consumer spending or the economy in the impacted regions or depending upon the severity, globally. These risks of conducting business internationally may have a material adverse effect on the Company’s business, operating results and financial condition. Other examples of risks arising from our international operations include the following, any of which could adversely affect our business, financial condition and cash flows:</w:t>
      </w:r>
    </w:p>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increased transportation costs or delays and other logistical problems relating to the transportation of goods shipped by ocean or air freight, including border closures, trade conflicts and general trade route delays caused by events such as adverse weather and stoppages in the Suez Canal;</w:t>
            </w:r>
          </w:p>
        </w:tc>
      </w:tr>
    </w:tbl>
    <w:p>
      <w:pPr>
        <w:pStyle w:val="TextBody"/>
        <w:bidi w:val="0"/>
        <w:spacing w:before="0" w:after="0"/>
        <w:ind w:left="960" w:right="0" w:hanging="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68"/>
        <w:gridCol w:w="200"/>
        <w:gridCol w:w="6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sz w:val="20"/>
              </w:rPr>
            </w:pPr>
            <w:r>
              <w:rPr>
                <w:sz w:val="20"/>
              </w:rPr>
              <w:t>restrictions on the transfer of funds from such countries to the United States;</w:t>
            </w:r>
          </w:p>
        </w:tc>
      </w:tr>
    </w:tbl>
    <w:p>
      <w:pPr>
        <w:pStyle w:val="TextBody"/>
        <w:bidi w:val="0"/>
        <w:spacing w:before="0" w:after="0"/>
        <w:ind w:left="960"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68"/>
        <w:gridCol w:w="200"/>
        <w:gridCol w:w="27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sz w:val="20"/>
              </w:rPr>
            </w:pPr>
            <w:r>
              <w:rPr>
                <w:sz w:val="20"/>
              </w:rPr>
              <w:t>imposition of currency controls;</w:t>
            </w:r>
          </w:p>
        </w:tc>
      </w:tr>
    </w:tbl>
    <w:p>
      <w:pPr>
        <w:pStyle w:val="TextBody"/>
        <w:bidi w:val="0"/>
        <w:spacing w:before="0" w:after="0"/>
        <w:ind w:left="960" w:right="0" w:hanging="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68"/>
        <w:gridCol w:w="200"/>
        <w:gridCol w:w="3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sz w:val="20"/>
              </w:rPr>
            </w:pPr>
            <w:r>
              <w:rPr>
                <w:sz w:val="20"/>
              </w:rPr>
              <w:t>increased labor costs and/or shortages;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changes in governmental policies and regulations, including changes to import/export regulations, tariffs, freight rates or the adoption of protectionist legislation;</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differing and potentially adverse tax consequences, including consequences resulting from the complexities of foreign corporate income tax systems, value added tax (“VAT”) regimes, tax withholding rules, and other indirect taxes, tax collection or remittance obligations, and restrictions on the repatriation of earnings;</w:t>
            </w:r>
          </w:p>
        </w:tc>
      </w:tr>
    </w:tbl>
    <w:p>
      <w:pPr>
        <w:pStyle w:val="TextBody"/>
        <w:bidi w:val="0"/>
        <w:spacing w:before="0" w:after="0"/>
        <w:ind w:left="960" w:right="0" w:hanging="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68"/>
        <w:gridCol w:w="200"/>
        <w:gridCol w:w="55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the availability and extent of intellectual property law protections;</w:t>
            </w:r>
          </w:p>
        </w:tc>
      </w:tr>
    </w:tbl>
    <w:p>
      <w:pPr>
        <w:pStyle w:val="TextBody"/>
        <w:bidi w:val="0"/>
        <w:spacing w:before="0" w:after="0"/>
        <w:ind w:left="960" w:right="0" w:hanging="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68"/>
        <w:gridCol w:w="200"/>
        <w:gridCol w:w="70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longer payment cycles and difficulties in managing international accounts receivable;</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trade sanctions, political unrest, terrorism, war, including the Russia-Ukraine conflict, epidemics, pandemics, or the threats of any of these or similar events;</w:t>
            </w:r>
          </w:p>
        </w:tc>
      </w:tr>
    </w:tbl>
    <w:p>
      <w:pPr>
        <w:pStyle w:val="TextBody"/>
        <w:bidi w:val="0"/>
        <w:spacing w:before="0" w:after="0"/>
        <w:ind w:left="96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68"/>
        <w:gridCol w:w="200"/>
        <w:gridCol w:w="5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sz w:val="20"/>
              </w:rPr>
            </w:pPr>
            <w:r>
              <w:rPr>
                <w:sz w:val="20"/>
              </w:rPr>
              <w:t>changing or unstable economic conditions or poor infrastructure; and/or</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different customer demand dynamics and difficulties and costs that arise in our efforts to adapt to local purchasing behaviors and consumer preferences.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foreign laws and regulations where we sell our products; these laws and regulations are subject to change and uncertain interpretation, and could result in claims, changes to our business practices, monetary penalties, increased cost of operations or declines in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foreign laws and regulations in the countries where we sell our products, including intellectual property, competition, consumer protection, product safety, and social benefits. Furthermore, the introduction of new products in our existing markets and the expansion of our business to other countries may subject us to additional laws and regulations, among others resulting from the need to obtain additional licenses and approvals to conduct our businesses as envisioned. In addition, the application or interpretation of these laws and regulations is not clear in some jurisdictions, which could make compliance more costly. Moreover, if third parties we work with, such as our suppliers and other business partners, violate applicable laws or our policies, such violations may result in joint or secondary liability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business will suffer if the Company fails to develop and successfully introduce new and enhanced products that meet the changing needs of the Company’s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interconnect product industry is developing rapidly, and related technology trends are constantly evolving. This results in the frequent introduction of new products and services, relatively short product design cycles and significant price competition. Consequently, our future success depends on our ability to anticipate technology development trends and identify, develop and commercialize in a timely and cost-effective manner. Our new and advanced products must also meet our customers’ evolving demand over time. Moreover, it may take an extended period of time for our new products to gain market acceptance, if at all. New product development often requires long-term forecasting of market trends, development and implementation of new designs and processes and a substantial capital commitment. Any failure by the Company to anticipate or respond in a cost-effective and timely manner to technological developments or changes in industry standards or customer requirements, or any significant delays in product development or introduction or any failure of new products to be widely accepted by the Company’s customers, could have a material adverse effect on the Company’s business, operating results and financial condition as a result of reduced 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adversely impacted by product defects.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defects can occur throughout the product development, design and manufacturing processes or as a result of our reliance on third parties for components, raw materials, and manufacturing. Any product defects or any other failure of our products or substandard product quality could harm our reputation and result in adverse publicity, lost revenues, delivery delays, product recalls, relationships with our customers and other business partners, product liability claims, administrative penalties, harm to our brand and reputation, and significant warranty and other expenses, and could have a material adverse impact on our business, financial condition, operating results and prospects. Historically, our defect rate was close to 0%, and our warranty cost for each of fiscal years ended March 31, 2026, 2025, and 2024 was $0, due to the implementation of strict quality control procedures. However, there is no guarantee that our defect rate will remain low or that we will not incur any warranty costs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quality control system, our business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place great emphasis on product quality and adhere to stringent quality control measures and have obtained quality control certifications for our products. To meet our customers’ requirements and expectations for the quality and safety of our products, we have adopted a stringent quality control system to ensure that every step of the production process is strictly monitored and managed. Failure to maintain an effective quality control system or to obtain or renew our quality standards certifications may result in a decrease in demand for our products or cancellation or loss of purchase orders from our customers, or our reputation could be impaired. As a result, our business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logistics service providers to deliver our products. Disruption in logistics may prevent us from meeting customer demand and our business, results of operations and financial condition may suffer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third-party logistics service providers to deliver our products from our warehouses to our customers. Disputes with or termination of our contractual relationships with one or more of our logistics service providers could result in delayed delivery of products or increased costs. There can be no assurance that we can continue or extend relationships with our current logistics service providers on terms acceptable to us, or that we will be able to establish relationships with new logistics service providers to ensure accurate, timely and cost-efficient delivery services. If we are unable to maintain or develop good relationships with our preferred logistics service providers, it may inhibit our ability to offer products in sufficient quantities, on a timely basis, or at prices acceptable to our consumers. If there is any breakdown in our relationships with our preferred logistics service providers, we cannot assure you that no interruptions in our product delivery will occur or that they would not materially and adversely affect our business,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have any direct control over these logistics service providers, we cannot guarantee their quality of service. In addition, services provided by these logistics service providers could be interrupted by unforeseen events beyond our control, such as poor handling provided by these logistics service providers, natural disasters, pandemics, adverse weather conditions, riots and labor strikes. If there is any delay in delivery, damage to products or any other issue, we may lose customers and sales and our brand image may be tarnished.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production facility may be unable to maintain efficiency, encounter problems in ramping up production or otherwise have difficulty meeting our production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will depend upon our ability to maintain efficient operations at our existing production facility and our ability to expand our production capacity as needed. The average utilization rate of our production lines was 59.8%, 60.8%, and 51.3% for fiscal years ended March 31, 2026, 2025, and 2024, respectively. The utilization rate of our production facility depends primarily on the demand for our products and the availability and maintenance of our machinery and equipment but may also be affected by other factors, such as the availability of employees, seasonal factors and changes in environmental laws and regulations. In order to meet our customers’ demands and advancements in technology, we maintain and upgrade our equipment periodically. If we are unable to maintain our production facilities’ efficiency, we may be unable to fulfill our purchase orders in a timely manner, or at all. This would negatively impact our reputation,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CCSC Interconnect DG were to lose its accreditation as a National High and New-Technology Enterprise in China, we could face higher tax rates than we currently pay for much of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Interconnect DG has been approved as a High and New-Technology Enterprise (“HNTE”) since 2016. The HNTE status is valid for three (3) years and entitles CCSC Interconnect DG to a favorable income tax rate of 15% rather than the unified rate of 25%. The HNTE accreditation may be renewed every three years. The Company recently renewed its HNTE certificate on December 19, 2025, which entitles CCSC Interconnect DG to a favorable income tax rate of 15% for fiscal years 2025 through 2027. For the fiscal years ended March 31, 2026, 2025, and 2024, the taxes payable by CCSC Interconnect DG would have increased by nil, nil, and nil, respectively, if CCSC Interconnect DG were not a certified HNTE. In the event we were to lose the benefit of the favorable tax rate in the future, we could see significant increases in the amount of taxes we pay, meaning that our operating results could be materially harmed, even in the absence of a decrease in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incorporate AI technologies into our manufacturing process in the future, which may present operational and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we entered into a strategic cooperation framework agreement (the “Agreement”) with Innogetic International Limited (“Innogetic”), a Hong Kong-based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we entered into a smart manufacturing platform technology purchase agreement (the “Technology Purchase Agreement”) with Asia Resource Holdings Limited, a company incorporated in Seychelles, with respect to a certain smart manufacturing platform tailored for connectors, cables, wire harnesses, and related precision assembly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we aim to explore and apply digital technology such as artificial intelligence (“AI”) in manufacturing to further advancements in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incorporated AI technologies into any of our business operations, nor have we implemented detailed plans for such incorporation. However, we may determine to integrate AI technologies into our future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significant risks associated with utilizing AI technology. Given the short time that has elapsed since AI became commercially viable and the rapid pace of change in the AI space, we may experience any number of difficulties in using AI technology. Additionally, there are significant risks involved in utilizing AI and there can be no assurance that the usage of AI will enhance our products or services, or be beneficial to our business, including our efficiency or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can also present ethical issues and may subject us to new or heightened legal, regulatory, ethical, or other challenges. Inappropriate or controversial data practices by developers and end-users, or other factors adversely affecting public opinion of AI, could impair the acceptance of AI solutions. If the AI tools that we use in the future happen to be deficient, inaccurate, or controversial, we could incur operational inefficiencies, competitive harm, legal liability, brand or reputational harm, or other adverse impacts on our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AI may expose us to additional intellectual property, cybersecurity, operational, and technological risks, as the technologies underlying AI and its use are subject to a variety of laws, including intellectual property, privacy, and consumer protection. Further, AI is the subject of evolving review by various U.S. governmental and regulatory agencies, and other foreign jurisdictions we operate in. For example, in the United States, President Biden issued the Executive Order on Safe, Secure and Trustworthy Artificial Intelligence in October 2023 (the “Executive Order”), with the goal of promoting the “safe, secure, and trustworthy development and use of artificial intelligence in the United States.” The Executive Order has established certain new standards for the training, testing and cybersecurity of sophisticated AI models. It has also instructed other federal agencies to promulgate additional regulations within certain time frames from the date of the Executive Order. Federal artificial intelligence legislation has also been introduced in the U.S. Senate. Since regulation of AI is rapidly evolving worldwide and legislators and regulators are increasingly focused on these powerful emerging technologies, we may become subject to new laws and regulations, which may affect the legality, profitability, or sustainability of our businesses, and we may be unable to predict all the legal, operational, or technological risks that may arise relating to the use of AI. Failure to appropriately respond to this evolving landscape may result in legal liability, regulatory action, or brand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incorporate open-source AI technology into our business operations, and if we do, our future use of open-source AI technology may negatively affect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implemented any detailed plans to incorporate AI technology into our business operations. Therefore, we cannot assure you that we will not use open-source AI technology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decide to use open-source AI technology in our future operations, it may expose us to various risks. Relying on contributions from external developers to maintain and update these technologies introduces uncertainty about their availability and development timeline. Any discontinuation or delay in updates could force us to seek alternative solutions, increasing our costs and potentially disrupting our operations. Additionally, complying with the complex landscape of open-source licenses is challenging. Failure to comply could result in significant legal penalties or require us to release proprietary information, undermining our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open-source AI technologies may also pose security and reliability concerns, as they are more susceptible to exploitation due to their public nature, which could potentially lead to unauthorized disclosure of sensitive data, including proprietary customer information. Security vulnerabilities or bugs could result in reputational harm, loss of customer trust, and financial damage. Open-source software may not always align with regulatory requirements in different jurisdictions, potentially exposing us to legal and compliance risks. Ensuring that the use of open-source AI technology complies with applicable laws and regulations adds complexity and could incur additional costs. Furthermore, we may face the risk of intellectual property infringement claims, which could lead to costly legal battles and operational disruptions. The inherent lack of control over these external technologies and their development could limit our ability to customize solutions and promptly respond to market demands, impacting our innovation capabilities and market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satisfy the listing requirements and other rules of Nasdaq Capital Market, our securities may be delisted, which could negatively impact the price of our securities and your ability to sell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our listing on the Nasdaq Capital Market, we are required to comply with certain rules of Nasdaq Capital Market, including those regarding minimum stockholders’ equity, minimum share price and certain corporate governance requirements. Even if we initially meet the listing requirements and other applicable rules of the Nasdaq Capital Market, we may not be able to continue to satisfy these requirements and applicable rules. If we are unable to satisfy the Nasdaq Capital Market criteria for maintaining our listing, our securities could be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Capital Market delists our securities from trading, we could face significant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a limited availability for market quotations for our securities;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reduced liquidity with respect to our securities;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a determination that our Class A Ordinary Shares are a “penny stock,” which will require brokers trading in our Class A Ordinary Shares to adhere to more stringent rules and possibly result in a reduced level of trading activity in the secondary trading market for our Class A Ordinary Shares;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limited amount of news and analyst coverage; and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a decreased ability to issue additional securities or obtain additional financing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Rules require a company to maintain a minimum closing bid price of US$1.00 per share. On December 17, 2025, we received a notice from Nasdaq that we failed to comply with the minimum closing bid price requirement set forth in Rule 5550(a)(2) of the Nasdaq Listing Rules as the closing bid price per Class A Ordinary Share had been below US$1.00 for a period of 30 consecutive business days. The Nasdaq notification letter does not result in the immediate delisting of our securities. Pursuant to Rule 5810(c)(3)(A) of the Nasdaq Listing Rules, we had a compliance period of 180 calendar days, or until June 15, 2026, to regain compliance with Nasdaq’s minimum bid price requirement. A company that fails to regain compliance during such 180-day period be eligible for an additional 180 calendar days, provided that it meets the continued listing requirement for market value of publicly held shares and all other initial listing standards for Nasdaq except for Nasdaq Listing Rule 5550(a)(2), and provides Nasdaq with a written notice of its intention to cure this deficiency during the second compliance period, by effecting a reverse stock split, if necessary. We did not regain compliance within the initial 180-day compliance period and on June 9, 2026, we provided Nasdaq with a notice to request an additional 180-day compliance period be granted to us. The request was granted to the Company on June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currently meet the other listing requirements and other applicable rules of the Nasdaq Capital Market, and even if we regain compliance with Nasdaq Listing Rule 5550(a)(2), we may not be able to continue to satisfy these requirements and applicable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has proposed a new $5 million minimum market value continued listing requirement that, if approved, could result in immediate suspension and delisting of our Class A Ordinary Shares without any cure period or opportunity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Nasdaq proposed new listing rules requiring companies on the Nasdaq Global and Capital Markets to maintain a minimum market value of listed securities of at least $5 million. Under this proposal, if our market value falls below $5 million for 30 consecutive business days, our Class A Ordinary Shares would be immediately suspended from trading and delisted from Nasdaq, with no cure period, no compliance period, and no stay of suspension during any appeal.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proposed rule represents a fundamental departure from Nasdaq’s traditional approach to listing deficiencies. Unlike other continued listing requirements that provide companies with 180 days or more to regain compliance, the proposed market value requirement would result in immediate and irreversible consequences. While we could request a hearing before a Nasdaq Listing Qualifications Hearings Panel to appeal a delisting determination, such a request would not prevent the immediate suspension of our Class A Ordinary Shares from trading. Furthermore, the panel would have extremely limited discretion and could only reverse the delisting decision if it determines that the initial determination was in error, and the panel could not consider evidence that we had subsequently regained compliance or grant us additional time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proposal reflects its belief that once a company’s market value falls below $5 million, the challenges facing that company are generally not temporary and are so severe that the company is unlikely to regain and sustain compliance for the long term. Nasdaq further believes it is difficult to maintain fair and orderly markets for such low-value companies. The SEC must decide on the proposal within 45 days of publication in the Federal Register, unless it extends the review period, creating uncertainty regarding whether and when this rule may become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value is calculated as our consolidated closing bid price multiplied by our total listed securities. Factors that could cause our market value to fall below the proposed threshold include continued stock price decline, lack of investor interest, adverse market conditions, negative developments in our business operations, dilutive financing transactions, or broader market volatility affecting microcap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is part of a broader trend of Nasdaq tightening listing standards for smaller issuers, including recent rules granting Nasdaq discretion to deny initial listings based on susceptibility to manipulative trading and other market value-based requirements. This increasingly stringent regulatory environment creates greater challenges for microcap companies such as us to maintain public listings.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proposed $5 million market value continued listing requirement is approved and we subsequently fail to maintain the required market value for 30 consecutive business days, our Class A Ordinary Shares would be immediately suspended from trading and delisted from Nasdaq without any opportunity to cure the deficiency. Such suspension and delisting would have severe adverse consequences for our business, our ability to raise capital, and the liquidity and value of our shareholders’ investments. Moreover, even if we remain in compliance with quantitative criteria, Nasdaq retains discretionary authority under Rule IM-5101-1 to suspend or terminate a company’s listing if necessary to protect investors or ensure the orderly operation of the market, which could result in similar adverse consequences even absent a failure to meet specific quantitative thresholds.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small company, the requirements of being a public company, including compliance with the reporting requirements of the Exchange Act and certain requirements of the Sarbanes-Oxley Act of 2002 (the “Sarbanes-Oxley Act”) and the Dodd-Frank Wall Street Reform and Consumer Protection Act (the “Dodd-Frank Act”), may strain our resources, increase our costs and distract management, and we may be unable to comply with these requirements in a timely or cost-effective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with listed equity securities, we must comply with the federal securities laws, rules, and regulations, including certain corporate governance provisions of the Sarbanes-Oxley Act and the Dodd-Frank Act, related rules and regulations of the SEC and Nasdaq, with which a private company is not required to comply. Complying with these laws, rules and regulations occupies a significant amount of the time of our board of directors and management and significantly increases our costs and expenses. Among other things, we must: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maintain a system of internal control over financial reporting in compliance with the requirements of Section 404 of the Sarbanes-Oxley Act and the related rules and regulations of the SEC;</w:t>
            </w:r>
          </w:p>
        </w:tc>
      </w:tr>
    </w:tbl>
    <w:p>
      <w:pPr>
        <w:pStyle w:val="TextBody"/>
        <w:bidi w:val="0"/>
        <w:spacing w:before="0" w:after="0"/>
        <w:ind w:left="0" w:right="0" w:hanging="0"/>
        <w:jc w:val="both"/>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68"/>
        <w:gridCol w:w="200"/>
        <w:gridCol w:w="48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comply with rules and regulations promulgated by Nasdaq;</w:t>
            </w:r>
          </w:p>
        </w:tc>
      </w:tr>
    </w:tbl>
    <w:p>
      <w:pPr>
        <w:pStyle w:val="TextBody"/>
        <w:bidi w:val="0"/>
        <w:spacing w:before="0" w:after="0"/>
        <w:ind w:left="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68"/>
        <w:gridCol w:w="200"/>
        <w:gridCol w:w="93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prepare and distribute periodic public reports in compliance with our obligations under the federal securities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maintain various internal compliance and disclosures policies, such as those relating to disclosure controls and procedures and insider trading in our Class A Ordinary Shares; and</w:t>
            </w:r>
          </w:p>
        </w:tc>
      </w:tr>
    </w:tbl>
    <w:p>
      <w:pPr>
        <w:pStyle w:val="TextBody"/>
        <w:bidi w:val="0"/>
        <w:spacing w:before="0" w:after="0"/>
        <w:ind w:left="0" w:right="0" w:hanging="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68"/>
        <w:gridCol w:w="200"/>
        <w:gridCol w:w="7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sz w:val="20"/>
              </w:rPr>
            </w:pPr>
            <w:r>
              <w:rPr>
                <w:sz w:val="20"/>
              </w:rPr>
              <w:t>involve and retain to a greater degree outside counsel and accountants in the above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conflicts involving Iran, military actions in the Middle East, and the war in Ukraine, notwithstanding ongoing diplomatic efforts, may adversely affect global economic conditions and cause significant volatility in the trading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heightened military conflict involving the United States, Israel, and Iran, which escalated significantly in February 2026, has led to profound instability in global financial and energy markets. These events, including the closure of strategic airspaces and critical maritime routes such as the Strait of Hormuz and the Red Sea, have contributed to a dramatic increase in the price of oil and gas and created widespread market uncertainty. While the United States and Iran are currently engaged in indirect technical talks in Doha, Qatar, aimed at solidifying a 14-point memorandum of understanding designed to end the conflict, there can be no assurance that such negotiations will succeed or that any agreement reached will be implemented, sustained, or sufficient to restore stability to affected markets. The ongoing disruptions caused by these military actions, and the potential for further escalation or the failure of diplomatic efforts, could result in protracted and severe damage to the global economy and investment climate.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has adopted enhanced listing standards and has proposed other related rule changes that expand its discretionary authority, which could adversely affect our ability to maintain our listing on Nasdaq, limit the liquidity of our securities, or result in increased volatility or delisting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recently adopted a series of rule changes that enhance its initial and continued listing standards and has proposed other related rule changes to the SEC for approval, that expand Nasdaq’s discretionary authority in evaluating and enforcing compliance with those standards. For example, Nasdaq has recently proposed amendments to its initial listing standards that would impose additional requirements specifically on China-based issuers, including heightened liquidity thresholds and more rigorous corporate governance disclosures. These proposed changes reflect a broader trend by Nasdaq to increase scrutiny of companies with significant operations or affiliations in China. In addition, recent changes to Nasdaq listing standards and Nasdaq’s expanded discretionary authority to deny initial listings under Rule IM-5101-3, even where a company meets all applicable quantitative and qualitative criteria, further signal a trend toward tighter listing controls. In exercising this discretion, Nasdaq has indicated that it may consider factors such as a company’s geographic nexus, business model, and relationships with professional advisors. As such, companies with operations in China or other emerging markets may face a higher burden in satisfying Nasdaq’s listing expectations. Moreover, Nasdaq has recently increased its initial listing requirements relating to the minimum market value of unrestricted publicly held shares. Effective January 17, 2026, companies seeking to list on the Nasdaq Capital Market or the Nasdaq Global Market under the net income standard are required to have a minimum market value of unrestricted publicly held shares of $15 million, compared to prior thresholds of $5 million and $8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Nasdaq filed a rule proposal with the SEC to adopt a new continued listing requirement that would require all companies listed on the Nasdaq Global Market or Nasdaq Capital Market to maintain a minimum market value of listed securities of US$5 million. Under the proposed rule, if a company’s market value of listed securities falls below this threshold for 30 consecutive trading days, Nasdaq may immediately suspend trading and initiate delisting proceedings without affording the company a compliance cure period. This proposed rule, if adopted, would be in addition to Nasdaq’s existing continued listing requirements, which include minimum bid price, publicly held shares, and shareholders’ equity, among others. If the market value of our Class A Ordinary Shares were to fall below the proposed $5 million threshold or we otherwise fail to satisfy Nasdaq’s continued listing standards, we could face delisting proceedings on an accelerated basis. Moreover, even if we remain in compliance with quantitative criteria, Nasdaq retains discretionary authority under Rule IM-5101-1 to suspend or terminate a company’s listing if necessary to protect investors or ensure the orderly operation of the market. We cannot assure you that we will be able to maintain compliance with Nasdaq’s continued listing standards, particularly in light of our trading volume, market capitalization, public float and other qualitative factors. If we are unable to maintain our listing, we may be forced to trade on an over-the-counter market, which may be less liquid and more volatile and could impair investors’ ability to buy or sell our Class A Ordinary Shares. The loss of our Nasdaq listing could also reduce our visibility and credibility in the market and adversely affect our ability to access capital through future equity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SEC approved Nasdaq Rule IM-5101-4, which specifies how Nasdaq will utilize its authority under Nasdaq Rule 5101 to delist securities in circumstances where: (i) such securities exhibit trading activity that is indicative of potential manipulation; (ii) the SEC has implemented a temporary trading suspension of such securities pursuant to Section 12(k) of the Exchange Act (a “Section 12(k) suspension”); and (iii) Nasdaq determines that delisting such securities is necessary to protect investors. Under Nasdaq Rule IM-5101-4, Nasdaq may exercise this authority on a case-by-case basis, taking into account all relevant facts and circumstances. Nasdaq may exercise its authority under Nasdaq Rule IM-5101-4 even where the potential manipulation appears to be driven by third parties with no known connection to the securities issuer. In the event that Nasdaq makes a determination to delist securities pursuant to its authority under Nasdaq Rule IM-5101-4, the affected company may seek a review of such determination pursuant to Nasdaq Rule 5815. However, as Nasdaq Rule IM-5101-4 is newly implemented, the criteria pursuant to which an appeal may succeed remain uncertain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SEC determine that the trading activity in our Class A Ordinary Shares has exhibited characteristics that trigger a Section 12(k) suspension, and Nasdaq thereupon conducts a review under Nasdaq Rule IM-5101-4, our Class A Ordinary Shares could be subject to delisting, and we can provide no assurance that, under such circumstances, we would prevail in appealing any such delisting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continuing war in Ukraine and the resulting sanctions levied by the United States, the European Union, and other nations against Russia continue to impact global financial markets. The extent and duration of the military actions in the Middle East and Eastern Europe, as well as the resulting sanctions and market disruptions, cannot be predicted but are expected to remain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geopolitical instability often leads to broad sell-offs in equity markets and heightened investor sensitivity to risk. Consequently, these developments may materially and adversely affect the market price of our Class A Ordinary Shares, regardless of our actual operating performance. We cannot predict the ultimate progress or outcome of these situations, and any prolonged unrest or intensified military activities could have a material adverse effect on the global economy, which in turn could adversely affect our financial condition and the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Dr. Chi Sing Chiu, the chairman of the board of directors of the Company, through his equity interest in the CCSC Investment Limited (as the largest shareholder of the Company), has the voting power of at least 50% of our Ordinary Shares, he has the ability to elect directors and approve matters requiring shareholder approval by way of ordinary resolution of members. However, as his voting power does not reach the two-thirds (2/3) threshold required for special resolutions under our New M&amp;A, he is not able to unilaterally approve matters that require a special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Chi Sing Chiu, the chairman of the board of directors of the Company, is also a controlling shareholder of the Company, currently owns approximately 65.65% of our total voting power, through his 69.20% of equity interest in CCSC Investment Limited, the largest shareholder of the Company. As such, he has sufficient voting power to pass ordinary resolutions of the shareholders without the votes of any other shareholders pursuant to our New M&amp;A, including an ordinary resolution to elect all directors. However, as special resolutions require the affirmative vote of at least two-thirds (2/3) of the votes cast by shareholders entitled to vote, Dr. Chi Sing Chiu does not have sufficient voting power to unilaterally pass special resolutions, and would require the support of other shareholders to do so. This could permit Dr. Chi Sing Chiu to have significant influence over a decision to enter into any corporate transaction and have the ability to prevent any transaction that requires the approval of shareholders by ordinary resolution, regardless of whether or not our other shareholders believe that such transaction is in our best interests. Such concentration of voting power could have the effect of delaying, deterring, or preventing a change of control or other business combination, which could, in turn, have an adverse effect on the market price of our Class A Ordinary Shares or prevent our shareholders from realizing a premium over the then-prevailing market price for their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or fail to remediate the material weaknesses in our internal control over financial reporting that have been identified, we may fail to meet our reporting obligations or be unable to accurately report our results of operations or prevent fraud, and investor confidence and the market price of our Class A Ordinary Shares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IPO, we were a private company with limited accounting personnel and other resources with which to address our internal controls and procedures. Our independent registered public accounting firm has not conducted an audit of our internal control over financial reporting. However, in preparing our consolidated financial statements as of and for the fiscal year ended March 31, 2026, we and our independent registered public accounting firm have identified material weaknesses in our internal control over financial reporting, as defined in the standards established by the PCAOB, and other control deficiencies. The material weaknesses identified included a lack of accounting staff and resources with appropriate knowledge of U.S. GAAP and SEC reporting and compliance requirements. Following the identification of the material weaknesses and control deficiencies, we plan to continue to take remedial measures, including (i) hiring more qualified accounting personnel with relevant U.S. GAAP and SEC reporting experience and qualifications to strengthen the financial reporting function and to set up a financial and system control framework; (ii) implementing regular and continuous U.S. GAAP accounting and financial reporting training programs for our accounting and financial reporting personnel and (iii) setting up an internal audit function as well as engaging an external consulting firm to assist us with assessment of Sarbanes-Oxley compliance requirements and improvement of overall internal control. However, the implementation of these measures may not fully address the material weaknesses in our internal control over financial reporting.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Class A Ordinary Shares, may be materially and adversely affected. Moreover, ineffective internal control over financial reporting significantly hinders our ability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in the United States subject to the Sarbanes-Oxley Act of 2002. 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as an emerging growth company,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We might not identify one or more material weaknesses in our internal controls in connection with evaluating our compliance with Section 404 of the Sarbanes-Oxley Act. In order to maintain and improve the effectiveness of our disclosure controls and procedures and internal controls over financial reporting, we will need to expend significant resources and provide significant management oversight. Implementing any appropriate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maintaining the adequacy of our internal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conclude that we have effective internal controls over financial reporting, investors may lose confidence in our operating results, the price of the Class A Ordinary Shares could decline and we may be subject to litigation or regulatory enforcement actions. In addition, if we are unable to meet the requirements of Section 404 of the Sarbanes-Oxley Act, the Class A Ordinary Shares may not be able to remain listed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not subject to certain U.S. securities law disclosure requirements that apply to a domestic U.S. issuer, which may limit the information publicly available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not required to comply with all of the periodic disclosure and current reporting requirements of the Exchange Act and therefore there may be less publicly available information about us than if we were a U.S. domestic issuer. For example, we are not subject to the proxy rules in the United States and disclosure with respect to our annual general meetings will be governed by Cayman Islands’ requirements. In addition, our officers, directors and principal shareholders are exempt from the “short-swing” profit recovery provisions of Section 16 of the Exchange Act and the rules thereunder. Therefore, our shareholders may not know on a timely basis when our officers, directors and principal shareholders purchase or sell our Class A Ordinary Shares. Nevertheless, our directors and officers are required to file Section 16(a) reports (Forms 3, 4, and 5) with the SEC to report their beneficial ownership interests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not subject to certain U.S. securities law disclosure requirements that apply to a domestic U.S. issuer, and are exempt from certain Nasdaq corporate governance standards applicable to U.S. issuers, which may limit the information publicly available to our investors and afford them less protection than if we were an U.S.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permitted to take advantage of certain provisions in the Nasdaq Stock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The Cayman Islands law does not require a majority of our board to consist of independent directors. Since a majority of our board of directors may not consist of independent directors, fewer board members may be exercising independent judgment and the level of board oversight on the management of our company may decrease as a result. In addition, the Nasdaq Stock Market listing rules also require U.S. domestic issuers to have a compensation committee, a nominating/corporate governance committee composed entirely of independent directors, and an audit committee with a minimum of three members. We, as a foreign private issuer, are not subject to these requirements. The Nasdaq Stock Market listing rules may require shareholder approval for certain corporate matters, such as requiring that shareholders be given the opportunity to vote on all equity compensation plans and material revisions to those plans, and certain ordinary share issuances. We intend to comply with the requirements of Nasdaq Listing Rules in determining whether shareholder approval is required on such matters and to appoint a nominating and corporate governance committee. However, we are permitted to, and we may choose to follow, home country practice in lieu of the requirements under the Nasdaq Stock Market listing rules with respect to certain corporate governance standards which may afford less protection to investors. Therefore, our shareholders may be afforded less protection than they otherwise would have under corporate governance listing standards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not required to comply with all of the periodic disclosure and current reporting requirements of the Exchange Act and therefore there may be less publicly available information about us than if we were a U.S. domestic issuer. We are exempt from certain provisions of the securities rules and regulations in the United States that are applicable to U.S. domestic issuers, including:</w:t>
      </w:r>
    </w:p>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rules under the Exchange Act requiring the filing with the SEC of quarterly reports on Form 10-Q or current reports on Form 8-K;</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sections of the Exchange Act regulating the solicitation of proxies, consents, or authorizations in respect of a security registered under the Exchange Act;</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sections of the Exchange Act requiring insiders to file public reports of their stock ownership and trading activities and liability for insiders who profit from trades made in a short period of time; and</w:t>
            </w:r>
          </w:p>
        </w:tc>
      </w:tr>
    </w:tbl>
    <w:p>
      <w:pPr>
        <w:pStyle w:val="TextBody"/>
        <w:bidi w:val="0"/>
        <w:spacing w:before="0" w:after="0"/>
        <w:ind w:left="960" w:right="0" w:hanging="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68"/>
        <w:gridCol w:w="200"/>
        <w:gridCol w:w="79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sz w:val="20"/>
              </w:rPr>
            </w:pPr>
            <w:r>
              <w:rPr>
                <w:sz w:val="20"/>
              </w:rPr>
              <w:t>the selective disclosure rules by issuers of material non-public information under Regulation FD.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(4) months of the end of each fiscal year.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with respect to our status will be made on September 30, 2026. We would lose our foreign private issuer status if, for example, more than 50% of our Class A Ordinary Shares are directly or indirectly held by residents of the U.S. and we fail to meet additional requirements necessary to maintain our foreign private issuer status. If we lose our foreign private issuer status on this date, we will be required to file with the SEC periodic reports and registration statements on U.S. domestic issuer forms beginning on September 30, 2026,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except that our directors and officers are required to file Section 16(a) reports (Forms 3, 4, and 5) with the SEC to report beneficial ownership interests in us. In addition, we will lose our ability to rely upon exemptions from certain corporate governance requirements under the Nasdaq Stock Market listing rules.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any future earnings to finance the operation and expansion of our business, and we do not expect to declare or pay any dividends in the foreseeable future. As a result, you may only receive a return on your investment in our Class A Ordinary Shares if we are successfully listed and the market price of our Class A Ordinary Shares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eligible for future sale may adversely affect the market price of our Class A Ordinary Shares, as the future sale of a substantial amount of outstanding Class A Ordinary Shares in the public marketplace could reduce the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shares could decline as a result of sales of substantial amounts of our shares in the public market, or the perception that these sales could occur. In addition, these factors could make it more difficult for us to raise funds through future offerings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an aggregate of 13,080,186 Class A Ordinary Shares and 500,000 Class B Ordinary Shares are outstanding. All of our Class A Ordinary Shares sold in our IPO that closed on January 22, 2024 are freely tradable without restriction or further registration under the Securities Act of 1933, as amended, or the Securities Act. Commencing on July 23, 2024, all remaining outstanding shares may also be sold in the public market, subject to the restrictions in Rule 144 and Rule 701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shareholders sell substantial amounts of our Class A Ordinary Shares in the public market, the market price of our Class A Ordinary Shares could fall. Moreover, the perceived risk of this potential dilution could cause shareholders to attempt to sell their shares and investors to short our Class A Ordinary Shares. These sales also may make it more difficult for us to sell equity or equity-related securities in the future at a time and price that we deem reasonable or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extreme stock price volatility unrelated to our actual or expected operating performance, financial condition or prospects, making it difficult for prospective investors to assess the rapidly changing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recent instances of extreme stock price run-ups followed by rapid price declines and strong stock price volatility with a number of recent initial public offerings, especially among companies with relatively smaller public floats. As a relatively small-capitalization company with a relatively small public float, we may experience greater share price volatility, extreme price run-ups, lower trading volume and less liquidity than large-capitalization companies. In particular, our Class A Ordinary Shares may be subject to rapid and substantial price volatility, low volumes of trades and large spreads in bid and ask prices. Such volatility, including any share run-up, may be unrelated to our actual or expected operating performance, financial condition or prospects, making it difficult for prospective investors to assess the rapidly changing value of our Class A Ordinary Shares. In addition, investors of our Class A Ordinary Shares may experience losses, which may be material, if the price of our Class A Ordinary Shares declines or if such investors purchase Class A Ordinary Shares prior to any price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laws of the Cayman Islands may not provide our shareholders with benefits comparable to those provided to shareholders of corporations incorporated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are governed by our New M&amp;A, by the Companies Act (As Revised) of the Cayman Islands and by the common law of the Cayman Islands. The rights of shareholders to take action against our directors, actions by minority shareholders and the fiduciary responsibilities of our directors to us under Cayman Islands law are to a large extent governed by the common law of the Cayman Islands. The common law in the Cayman Islands is derived in part from comparatively limited judicial precedent in the Cayman Islands and from English common law. Decisions of the Privy Council (which is the final Court of Appeal for British Overseas Territories such as the Cayman Islands) are binding on a court in the Cayman Islands. Decisions of the English courts, and particularly the Supreme Court and the Court of Appeal are generally of persuasive authority but are not binding in the courts of the Cayman Islands. Decisions of courts in other Commonwealth jurisdictions are similarly of persuasive but not binding authority.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relative to the United States. Therefore, our public shareholders may have more difficulty protecting their interests in the face of actions by our management, directors or controlling shareholders than would shareholders of a corporation incorporated in a jurisdiction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 Cayman Islands company and all of our business is conducted in the PRC, you may be unable to bring an action against us or our officers and directors or to enforce any judgment you may obtain, and the U.S. regulatory bodies may be limited in their ability to conduct investigations or inspections of our operations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and conduct our operations primarily in China. Substantially all of our assets are located outside of the United States. In addition, the majority of our directors and officers reside outside of the United States. As a result, it may be difficult or impossible for you to bring an action against us or against these individuals in the United States in the event that you believe we have violated your rights, either under United States federal or state securities laws or otherwise, or if you have a claim against us. Even if you are successful in bringing an action of this kind, the laws of the Cayman Islands and of China may not permit you to enforce a judgment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recently adopted a revised securities law, and Article 177 of which provides, among other things, that no overseas securities regulator is allowed to directly conduct investigation or evidence collection activities within the territory of the PRC.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does not provide shareholders with any right to requisition a general meeting or to put any proposal before a general meeting. These rights, however, may be provided in a company’s articles of association. Our New M&amp;A allow one or more of our shareholders which, at the date of the deposit of the requisition, carry in aggregate not less than one-third of all votes attaching to all issued and outstanding shares of our company that, as at the date of the deposit of the requisition, carry the right to vote at general meetings to requisition an extraordinary general meeting of our shareholders, in which case our directors are obliged to call such meeting. Advance notice of at least seven calendar days is required for the convening of our annual general shareholders’ meeting (if any) and any other general meeting of our shareholders. A quorum required for a meeting of shareholders consists of at least one shareholder present or by proxy, representing not less than one-third of the total issued shares carrying the right to vote at a general meeting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hire and retain qualified personnel to support our growth, and if we are unable to retain or hire such personnel in the future, our ability to improve our products and implement our business objectives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attract, recruit, and retain a sizeable workforce of technically competent employees. Competition for management and key personnel in the PRC and Hong Kong is intense, and the pool of qualified candidates in the PRC is limited. We may not be able to retain the services of our executives or other personnel, or attract and retain high-quality senior executives or personnel in the future. Any such failure could materially and adversely affect our future growth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success depends on our ability to increase awareness of our brands and to develop customer loyalty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brands are integral to our sales and marketing efforts. We believe that maintaining and enhancing our brand name recognition in a cost-effective manner is critical to achieving widespread acceptance of our current and future products and is an important element in our effort to increase our customer base. Successful promotion of our brand names will depend largely on our marketing efforts and our ability to provide reliable and quality products at competitive prices. Brand promotion activities may not yield increased revenue, and even if they do, such increased revenue may not offset the expenses we incur in connection with such marketing activities. If we fail to successfully promote and maintain our brands, or if we incur substantial expenses in an unsuccessful attempt to do so, we may fail to attract new customers or retain our existing customers, in which case our business, operating results, and financial condition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require various approvals, licenses, permits, and certifications to operate our business. If we fail to obtain or renew any of these approvals, licenses, permits, or certifications, it could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laws and regulations in the jurisdictions in which we operate, we are required to maintain various approvals, licenses, permits and certifications in order to operate our business or engage in the business we plan to enter into. Complying with such laws and regulations may require substantial expenses, and any non-compliance may expose us to liability. In the event that government authorities consider us to be in non-compliance, we may have to incur significant expenses and divert substantial management time to rectify the incidents. If we fail to obtain all the necessary approvals, licenses, permits and certifications, we may be subject to fines or the suspension of operations of the facilities that do not have the requisite approvals, licenses, permits or certifications, which would adversely affect our reputation, business and results of operations. See “Item 4. Information on the Company—B. Business Overview—Regulation” for further details on the requisite approvals, licenses, permits and certifications.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be volatile, which could result in substantial losses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Class A Ordinary Shares could vary significantly as a result of a number of factors, some of which are beyond our control. In the event of a drop in the market price of our Class A Ordinary Shares, you could lose a substantial part or all of your investment in our Class A Ordinary Shares. Such volatility may result from broad market and industry factors, including the performance and fluctuation of the market prices of other companies with business operations located overseas that have listed their securities in the United States. The securities of some of these companies have experienced significant volatility since their initial public offerings, including, in some cases, substantial price declines in their trading prices. The trading performance of other companies’ securities after their offerings may affect the attitudes of investors toward companies listed in the United States in general and, consequently, may impact the trading performance of our Class A Ordinary Shares,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market and industry factors, the price and trading volume for our Class A Ordinary Shares may be highly volatile due to factors specific to our operations, including the following:</w:t>
      </w:r>
    </w:p>
    <w:p>
      <w:pPr>
        <w:pStyle w:val="TextBody"/>
        <w:bidi w:val="0"/>
        <w:spacing w:before="0" w:after="0"/>
        <w:ind w:left="960" w:right="0" w:hanging="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68"/>
        <w:gridCol w:w="200"/>
        <w:gridCol w:w="3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sz w:val="20"/>
              </w:rPr>
            </w:pPr>
            <w:r>
              <w:rPr>
                <w:sz w:val="20"/>
              </w:rPr>
              <w:t>our operating and financial performance;</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quarterly variations in the rate of growth of our financial indicators, such as net income per share, net income and revenues;</w:t>
            </w:r>
          </w:p>
        </w:tc>
      </w:tr>
    </w:tbl>
    <w:p>
      <w:pPr>
        <w:pStyle w:val="TextBody"/>
        <w:bidi w:val="0"/>
        <w:spacing w:before="0" w:after="0"/>
        <w:ind w:left="960" w:right="0" w:hanging="0"/>
        <w:jc w:val="both"/>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68"/>
        <w:gridCol w:w="200"/>
        <w:gridCol w:w="8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sz w:val="20"/>
              </w:rPr>
            </w:pPr>
            <w:r>
              <w:rPr>
                <w:sz w:val="20"/>
              </w:rPr>
              <w:t>the public reaction to our press releases, our other public announcements and our filings with the SEC;</w:t>
            </w:r>
          </w:p>
        </w:tc>
      </w:tr>
    </w:tbl>
    <w:p>
      <w:pPr>
        <w:pStyle w:val="TextBody"/>
        <w:bidi w:val="0"/>
        <w:spacing w:before="0" w:after="0"/>
        <w:ind w:left="96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68"/>
        <w:gridCol w:w="200"/>
        <w:gridCol w:w="30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sz w:val="20"/>
              </w:rPr>
            </w:pPr>
            <w:r>
              <w:rPr>
                <w:sz w:val="20"/>
              </w:rPr>
              <w:t>strategic actions by our competitors;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changes in revenue or earnings estimates, or changes in recommendations or withdrawal of research coverage, by equity research analysts;</w:t>
            </w:r>
          </w:p>
        </w:tc>
      </w:tr>
    </w:tbl>
    <w:p>
      <w:pPr>
        <w:pStyle w:val="TextBody"/>
        <w:bidi w:val="0"/>
        <w:spacing w:before="0" w:after="0"/>
        <w:ind w:left="960" w:right="0" w:hanging="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68"/>
        <w:gridCol w:w="200"/>
        <w:gridCol w:w="41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both"/>
              <w:rPr>
                <w:sz w:val="20"/>
              </w:rPr>
            </w:pPr>
            <w:r>
              <w:rPr>
                <w:sz w:val="20"/>
              </w:rPr>
              <w:t>speculation in the press or investment community;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68"/>
        <w:gridCol w:w="200"/>
        <w:gridCol w:w="56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sz w:val="20"/>
              </w:rPr>
            </w:pPr>
            <w:r>
              <w:rPr>
                <w:sz w:val="20"/>
              </w:rPr>
              <w:t>the failure of research analysts to cover our Class A Ordinary Shares;</w:t>
            </w:r>
          </w:p>
        </w:tc>
      </w:tr>
    </w:tbl>
    <w:p>
      <w:pPr>
        <w:pStyle w:val="TextBody"/>
        <w:bidi w:val="0"/>
        <w:spacing w:before="0" w:after="0"/>
        <w:ind w:left="960" w:right="0" w:hanging="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68"/>
        <w:gridCol w:w="200"/>
        <w:gridCol w:w="88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sz w:val="20"/>
              </w:rPr>
            </w:pPr>
            <w:r>
              <w:rPr>
                <w:sz w:val="20"/>
              </w:rPr>
              <w:t>sales of our Class A Ordinary Shares by us or other shareholders, or the perception that such sales may occur;</w:t>
            </w:r>
          </w:p>
        </w:tc>
      </w:tr>
    </w:tbl>
    <w:p>
      <w:pPr>
        <w:pStyle w:val="TextBody"/>
        <w:bidi w:val="0"/>
        <w:spacing w:before="0" w:after="0"/>
        <w:ind w:left="960" w:right="0" w:hanging="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68"/>
        <w:gridCol w:w="200"/>
        <w:gridCol w:w="67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sz w:val="20"/>
              </w:rPr>
            </w:pPr>
            <w:r>
              <w:rPr>
                <w:sz w:val="20"/>
              </w:rPr>
              <w:t>changes in accounting principles, policies, guidance, interpretations or standards;</w:t>
            </w:r>
          </w:p>
        </w:tc>
      </w:tr>
    </w:tbl>
    <w:p>
      <w:pPr>
        <w:pStyle w:val="TextBody"/>
        <w:bidi w:val="0"/>
        <w:spacing w:before="0" w:after="0"/>
        <w:ind w:left="96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68"/>
        <w:gridCol w:w="200"/>
        <w:gridCol w:w="44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additions or departures of key management personnel;</w:t>
            </w:r>
          </w:p>
        </w:tc>
      </w:tr>
    </w:tbl>
    <w:p>
      <w:pPr>
        <w:pStyle w:val="TextBody"/>
        <w:bidi w:val="0"/>
        <w:spacing w:before="0" w:after="0"/>
        <w:ind w:left="960" w:right="0" w:hanging="0"/>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68"/>
        <w:gridCol w:w="200"/>
        <w:gridCol w:w="23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both"/>
              <w:rPr>
                <w:sz w:val="20"/>
              </w:rPr>
            </w:pPr>
            <w:r>
              <w:rPr>
                <w:sz w:val="20"/>
              </w:rPr>
              <w:t>actions by our shareholders;</w:t>
            </w:r>
          </w:p>
        </w:tc>
      </w:tr>
    </w:tbl>
    <w:p>
      <w:pPr>
        <w:pStyle w:val="TextBody"/>
        <w:bidi w:val="0"/>
        <w:spacing w:before="0" w:after="0"/>
        <w:ind w:left="960" w:right="0" w:hanging="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68"/>
        <w:gridCol w:w="200"/>
        <w:gridCol w:w="82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sz w:val="20"/>
              </w:rPr>
            </w:pPr>
            <w:r>
              <w:rPr>
                <w:sz w:val="20"/>
              </w:rPr>
              <w:t>domestic and international economic, legal and regulatory factors unrelated to our performance; and</w:t>
            </w:r>
          </w:p>
        </w:tc>
      </w:tr>
    </w:tbl>
    <w:p>
      <w:pPr>
        <w:pStyle w:val="TextBody"/>
        <w:bidi w:val="0"/>
        <w:spacing w:before="0" w:after="0"/>
        <w:ind w:left="96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68"/>
        <w:gridCol w:w="200"/>
        <w:gridCol w:w="8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sz w:val="20"/>
              </w:rPr>
            </w:pPr>
            <w:r>
              <w:rPr>
                <w:sz w:val="20"/>
              </w:rPr>
              <w:t>the realization of any risks described under “Item 3. Key Information—D. Risk Factors” of this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 general have experienced extreme volatility that has often been unrelated to the operating performance of particular companies. These broad market fluctuations may adversely affect the trading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plaintiffs Patrick Shane Johnson, Jack Pena, and Hitesh Dev (collectively, “Plaintiffs”) filed a putative civil class action complaint before the Supreme Court of the State of New York, New York County (the “Court”), asserting claims against approximately 47 issuers (including the Company), as well as a large number of underwriters and individuals. The Request for Judicial Intervention filed by Plaintiff was returned for correction by the Court, and Plaintiffs have not yet filed a document correcting the filing. Since March 24, 2026, and as of the date of this annual report, there has been no further activity in the matter involving the Company, nor has there been any formal investigation or regulatory inquiry involving the Company or its officers. See “Item 8. Financial Information—A. Consolidated Statements and Other Financial Information—Legal Proceedings” for further details on the class action.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as long as we are an emerging growth company, we will not be required to comply with certain reporting requirements, including those relating to accounting standards and disclosure about our executive compensation, that apply to other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President Obama signed into law the JOBS Act. We are classified as an “emerging growth company” under the JOBS Act. For as long as we are an emerging growth company, which may be up to five (5)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 regarding executive compensation required of larger public companies; or (iv) hold nonbinding advisory votes on executive compensation. We will remain an emerging growth company for up to five (5) years, although we will lose that status sooner if we have more than $1.235 billion of revenues in a fiscal year, have more than $700 million in market value of our Class A Ordinary Shares held by non-affiliates, or issue more than $1.0 billion of non-convertible debt over a three-year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Ordinary Shares to be less attractive as a result, there may be a less active trading market for our Class A Ordinary Shares and our stock price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and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be subject to the reporting requirements of the Exchange Act, or the Exchange Act, the Sarbanes-Oxley Act, the Dodd-Frank Act, the listing requirements of the securities exchange on which we list, and other applicable securities rules and regulations. Despite recent reforms made possible by the JOBS Act, compliance with these rules and regulations will nonetheless increase our legal, accounting, and financial compliance costs and investor relations and public relations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 as well as proxy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disclosure of information in this annual report and in future filings required of a public company, our business and financial condition may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and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obligation to disclose information publicly may put us at a disadvantage to competitors that are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in the United States. As a public company, we are required to file periodic reports with the Securities and Exchange Commission upon the occurrence of matters that are material to the Company and its shareholders. Although we may be able to attain confidential treatment of some of our developments, in some cases, we will need to disclose material agreements or results of financial operations that we would not be required to disclose if we were a private company. Our competitors may have access to this information, which would otherwise be confidential. This may give them advantages in competing with the Company. Similarly, as a U.S. public company, we will be governed by U.S. laws that our competitors, which are predominantly private Chinese companies, are not required to follow. To the extent compliance with U.S. laws increases our expenses or adversely affects our competitiveness against such companies, our public company status could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share structure with different voting rights will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dual class share structure such that our Ordinary Shares consist of Class A Ordinary Shares and Class B Ordinary Shares. In respect of matters requiring the votes of shareholders, each Class A Ordinary Share is entitled to one (1) vote and each Class B Ordinary Share is entitled to fifty (50) votes. Each Class B Ordinary Share is convertible into one Class A Ordinary share at any time by the holder thereof. Our Class A Ordinary Shares are not convertible into our Class B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our Class A Ordinary Shares are listed and tradable on the Nasdaq Capital Market. This voting structure may discourage investors from pursuing any change of control transactions that holders of our Class A Ordinary Shares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share structure with different voting rights may adversely affect the value and liquidity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our dual class share structure with different voting rights will result in a lower or more volatile market price of the Class A Ordinary Shares, adverse publicity, or other adverse consequences. Certain index providers have announced restrictions on including companies with multiple class share structures in certain of their indices. Because of our dual class share structure, we will likely be excluded from these indices and other stock indices that take similar actions. Given the sustained flow of investment funds into passive strategies that seek to track certain indices, exclusion from such stock indices would likely preclude investment by many of these funds and could make the Class A Ordinary Shares less attractive to investors. In addition, several shareholder advisory firms have announced their opposition to the use of multiple class share structures, and our dual class share structure may cause such firms to publish negative commentary about our corporate governance, which could adversely affect the market price and liquidity of the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2021, CCSC Cayman, or the Company, was incorporated in the Cayman Islands under the Cayman Islands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2021, the Company’s wholly-owned subsidiary, CCSC Group, was established as an investment holding company with limited liability under the laws of the British Virgin Islands (the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1992, CCSC Group incorporated its wholly-owned subsidiaries, CCSC Technology Group Limited (“CCSC Technology Group”), in Hong Kong, China. CCSC Technology Group was originally named “Leoco (H.K.) Limited”, and changed its name to the current one on July 23,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Group holds a wholly-owned subsidiaries in Serbia known as CCSC Technology Doo Beograd (“CCSC Technology Serbia”), which was incorporated on February 27, 2024 in Serbia.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Technology Group has three wholly-owned subsidiaries in Hong Kong, mainland China, and the Netherlands as follows:</w:t>
      </w:r>
    </w:p>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CCSC Interconnect DG, or Dongguan CCSC Interconnect Electronic Technology Limited, a company incorporated on June 28, 1993 in Dongguan, China;</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CCSC Interconnect HK, or CCSC Interconnect Technology Limited, a company incorporated on July 3, 2007 in Hong Kong, China; and</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CCSC Interconnect NL, or CCSC Interconnect Technology Europe B.V. a company incorporated on March 14, 2016 in the Netherlands.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reorganization described below, CCSC Technology Group was controlled by several individual shareholders. A reorganization of the Company’s structure was completed on March 17, 2022. The reorganization involved the incorporation of the Company and CCSC Group and the transfer of the 100% shareholding interest of CCSC Technology Group from its individual shareholders to CCSC Group. As the result of the reorganization, CCSC Cayman became the ultimate holding company of CCSC Group, CCSC Technology Group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IPO in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of the Company commenced trading under the symbol “CCTG” on the Nasdaq Capital Market on January 18, 2024. On January 22, 2024, the Company closed its IPO of 1,375,000 ordinary shares pursuant to certain registration statements on Form F-1 (File Nos.333-270741 and 333-276545). Revere Securities, LLC and R.F. Lafferty &amp; Co., Inc. were the underwriters of the Company’s IPO. On February 8, 2024, the underwriters exercised their over-allotment option in full to purchase an additional 206,250 ordinary shares at the public offering price of US$4.00 per share. The closing for the sale of the over-allotment shares took place on February 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Share Capital in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annual general meeting of shareholders (the “2024 AGM”) of the Company was held on September 10, 2024. At the 2024 AGM, the shareholders of the Company adopted resolutions with respect to the variation of share capital for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68"/>
        <w:gridCol w:w="9969"/>
      </w:tblGrid>
      <w:tr>
        <w:trPr/>
        <w:tc>
          <w:tcPr>
            <w:tcW w:w="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20"/>
              </w:rPr>
            </w:pPr>
            <w:r>
              <w:rPr>
                <w:sz w:val="20"/>
              </w:rPr>
              <w:t>1.</w:t>
            </w:r>
          </w:p>
        </w:tc>
        <w:tc>
          <w:tcPr>
            <w:tcW w:w="9969" w:type="dxa"/>
            <w:tcBorders/>
            <w:vAlign w:val="center"/>
          </w:tcPr>
          <w:p>
            <w:pPr>
              <w:pStyle w:val="TableContents"/>
              <w:bidi w:val="0"/>
              <w:spacing w:before="0" w:after="283"/>
              <w:jc w:val="both"/>
              <w:rPr>
                <w:sz w:val="20"/>
              </w:rPr>
            </w:pPr>
            <w:r>
              <w:rPr>
                <w:sz w:val="20"/>
              </w:rPr>
              <w:t>Increase of Authorized Share Capital. The authorized share capital of the Company was increased from US$50,000 divided into 100,000,000 ordinary shares of a par value of US$0.0005 each to US$250,000 divided into 500,000,000 ordinary shares of a par value of US$0.0005 each, by the creation of 400,000,000 additional ordinary shares of a par value of US$0.0005 each; and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68"/>
        <w:gridCol w:w="200"/>
        <w:gridCol w:w="38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2.</w:t>
            </w:r>
          </w:p>
        </w:tc>
        <w:tc>
          <w:tcPr>
            <w:tcW w:w="3800" w:type="dxa"/>
            <w:tcBorders/>
            <w:vAlign w:val="center"/>
          </w:tcPr>
          <w:p>
            <w:pPr>
              <w:pStyle w:val="TableContents"/>
              <w:bidi w:val="0"/>
              <w:spacing w:before="0" w:after="283"/>
              <w:jc w:val="both"/>
              <w:rPr>
                <w:sz w:val="20"/>
              </w:rPr>
            </w:pPr>
            <w:r>
              <w:rPr>
                <w:sz w:val="20"/>
              </w:rPr>
              <w:t>Implementation of Dual-Class Share Structure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a.</w:t>
            </w:r>
          </w:p>
        </w:tc>
        <w:tc>
          <w:tcPr>
            <w:tcW w:w="9952" w:type="dxa"/>
            <w:tcBorders/>
            <w:vAlign w:val="center"/>
          </w:tcPr>
          <w:p>
            <w:pPr>
              <w:pStyle w:val="TableContents"/>
              <w:bidi w:val="0"/>
              <w:spacing w:before="0" w:after="283"/>
              <w:jc w:val="both"/>
              <w:rPr>
                <w:sz w:val="20"/>
              </w:rPr>
            </w:pPr>
            <w:r>
              <w:rPr>
                <w:sz w:val="20"/>
              </w:rPr>
              <w:t>5,000,000 ordinary shares of a par value of US$0.0005 held by CCSC Investment Limited were re-designated and reclassified as 5,000,000 Class B Ordinary Shares of a par value of US$0.0005 each, carrying the rights, preferences and privileges as set forth in the New M&amp;A; and</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b.</w:t>
            </w:r>
          </w:p>
        </w:tc>
        <w:tc>
          <w:tcPr>
            <w:tcW w:w="9937" w:type="dxa"/>
            <w:tcBorders/>
            <w:vAlign w:val="center"/>
          </w:tcPr>
          <w:p>
            <w:pPr>
              <w:pStyle w:val="TableContents"/>
              <w:bidi w:val="0"/>
              <w:spacing w:before="0" w:after="283"/>
              <w:jc w:val="both"/>
              <w:rPr>
                <w:sz w:val="20"/>
              </w:rPr>
            </w:pPr>
            <w:r>
              <w:rPr>
                <w:sz w:val="20"/>
              </w:rPr>
              <w:t>The remaining 495,000,000 issued and unissued ordinary shares of a par value of US$0.0005 each were re-designated and reclassified as Class A Ordinary Shares of a par value of US$0.0005 each, carrying the rights, preferences and privileges as set forth in the New M&amp;A.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Follow-On Public Offering in September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the Company entered into a securities purchase agreement (the “Purchase Agreement”) with certain investors identified therein for a best efforts follow-on public offering (the “Offering”) of (i) 11,766,627 Class A ordinary shares of the Company, par value $0.0005 per share, and (ii) 23,533,254 warrants to purchase 23,533,254 Class A ordinary shares, at an exercise price of $0.72 per share (the Class A ordinary shares and the warrants are collectively referred to herein as the “Securities”), exercisable upon issuance and have a term of five years from initial exercise date. The Securities were sold at a combined public offering price of $0.60 per share and accompanying warrants. Each Class A ordinary share was sold together with two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until six (6) months after the closing of the Offering, the Company shall not issue, enter into any agreement to issue, or announce the issuance or proposed issuance of any Class A ordinary shares, or securities convertible into, or exchangeable or exercisable for, the Company’s Class A ordinary shares or Class B ordinary shares, or file any registration statement or amendment or supplement thereto, subject to certain exceptions. The Securities were registered under an effective registration statement on Form F-1 (File No. 333- 289769) that was initially filed with the SEC on August 22, 2025, as amended, and declared effective on September 30, 2025 (the “Registration Statement”). The Company filed the final prospectus dated September 30, 2025 for the Offering, forming a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a placement agency agreement dated September 30, 2025 (the “Placement Agency Agreement”) with Revere Securities LLC, who acted as the exclusive placement agent (the “Placement Agent”) on a best-efforts basis in connection with this Offering. Pursuant to the Placement Agency Agreement, the Company agreed to pay to the Placement Agent commissions equal to 4.0% of the aggregate gross proceeds raised in the Offering, a non-accountable expense allowance equal to 1.0% of the aggregate gross proceeds raised in the Offering, and to reimburse the Placement Agent for its out-of-pocket expenses up to $90,000.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closed on October 2, 2025. The Company has used the net proceeds received from the Offering to strengthen branding and marketing to escalate its position in its industry in Europe and the Association of Southeast Asian Nations, for strategic acquisitions and collaborations, and for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Consolidation in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during the annual general meeting of shareholders of the Company, the shareholders passed certain resolutions authorizing the following: (i) on the date when the closing market price per Class A ordinary share of a par value of US$0.0005 each is less than US$1.00, or on such later date as any director of the Company deems advisable and may determine in his or her absolute discretion, each and every 10 issued and unissued Class A ordinary shares of a par value of US$0.0005 each and every 10 issued and unissued Class B ordinary shares of a par value of US$0.0005 each be consolidated into one Class A Ordinary Share of a par value of US$0.005 and one Class B Ordinary Share of a par value of US$0.005, respectively, such that following such share consolidation, the authorized share capital of the Company will be US$250,000 divided into 50,000,000 shares of a par value of US$0.005 each, comprising 49,500,000 Class A Ordinary Shares of a par value of US$0.005 each and 500,000 Class B Ordinary Shares of a par value of US$0.005 each (the “First Share Consolidation”); and (ii) subsequently following the First Share Consolidation, on the date when the closing market price per Class A Ordinary Share of a par value of US$0.005 each is less than US$1.00, or on such later date as any director of the Company deems advisable and may determine in his or her absolute discretion, each and every 5 issued and unissued Class A Ordinary Shares of a par value of US$0.005 each and every five issued and unissued Class B Ordinary Shares of a par value of US$0.005 each be consolidated into one Class A ordinary share of a par value of US$0.025 and one Class B ordinary share of a par value of US$0.025, respectively, such that following such share consolidation, the authorized share capital of the Company will be US$250,000 divided into 10,000,000 shares of a par value of US$0.025 each, comprising 9,900,000 Class A ordinary shares of a par value of US$0.025 each and 100,000 Class B ordinary shares of a par value of US$0.025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2025, the board of directors of the Company passed certain resolutions to approve the First Share Consolidation. The First Share Consolidation became effective on January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Entry into Material Agreements and Share Issuances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Company, as the issuer, and its indirect wholly-owned subsidiary, CCSC Interconnect Technology Limited (the “Purchaser”), as the purchaser, entered into a software purchase agreement (the “Software Purchase Agreement”) with Coventry Company Limited, a company incorporated in Seychelles (the “Software Seller”), as the seller, with respect to certain software that provides a simulation modeling subsystem and physical simulation subsystem of an intelligent logistics simulation system, as described more particularly therein (the “Logistics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Software Purchase Agreement, the Purchaser agreed to acquire from the Software Seller all of the rights, title, and interests in the Logistics Software for consideration of an aggregate of 3,333,333 Class A Ordinary Shares (per share price of US$0.60) of the Company with an aggregate value of US$2,000,000 (the “Software Consideration Shares”). In connection with the Software Purchase Agreement, on February 25, 2026, the Software Seller and 10 assignees (the “Software Assignees”) entered into a deed of assignment (the “Software Deed of Assignment”) with respect to the assignment of the Software Seller’s right to receive the Software Consideration Shares, and the Software Seller delivered to the Company and the Purchaser a notice of assignment (the “Software Notice of Assignment”) (the “Software Assignment”). Pursuant to the Software Purchase Agreement and the Software Assignment, the Software Consideration Shares were issued to the Software Assignees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the Company, as the issuer and the purchaser, entered into a smart manufacturing platform technology purchase agreement (the “Technology Purchase Agreement”) with Asia Resource Holdings Limited, a company incorporated in Seychelles (the “Technology Seller”), as the seller, with respect to a certain smart manufacturing platform tailored for connectors, cables, wire harnesses, and related precision assembly businesses, as described more particularly therein (the “Manufacturing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Technology Purchase Agreement, the Company agreed to acquire from the Technology Seller all of the rights, title, and interests in the Manufacturing Platform for consideration of an aggregate of 6,333,333 Class A Ordinary Shares (per share price of US$0.60) of the Company with an aggregate value of US$3,800,000 (the “Technology Consideration Shares”). In connection with the Technology Purchase Agreement, on April 29, 2026, the Technology Seller and 10 assignees (the “Technology Assignees”) entered into a deed of assignment (the “Technology Deed of Assignment”) with respect to the assignment of the Technology Seller’s right to receive the Technology Consideration Shares, and the Technology Seller delivered to the Company and the Purchaser a notice of assignment (the “Technology Notice of Assignment”) (the “Technology Assignment”). Pursuant to the Technology Purchase Agreement and the Technology Assignment, 2,916,667 and 3,416,666 of the Technology Consideration Shares were issued to the Technology Assignees on June 5, 2026 and June 26,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an aggregate of 13,080,186 Class A Ordinary Shares and 500,000 Class B Ordinary Shares 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Non-Compliance with Nasdaq’s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Rules require a company to maintain a minimum closing bid price of US$1.00 per share. On December 17, 2025, we received a notice from Nasdaq that we failed to comply with the minimum closing bid price requirement set forth in Rule 5550(a)(2) of the Nasdaq Listing Rules as the closing bid price per Ordinary Share had been below US$1.00 for a period of 30 consecutive business days. The Nasdaq notification letter does not result in the immediate delisting of our securities. Pursuant to Rule 5810(c)(3)(A) of the Nasdaq Listing Rules, we had a compliance period of 180 calendar days, or until June 15, 2026, to regain compliance with Nasdaq’s minimum bid price requirement. A company that fails to regain compliance during such 180-day period, may be eligible for an additional 180 calendar days, provided that it meets the continued listing requirement for market value of publicly held shares and all other initial listing standards for Nasdaq except for Nasdaq Listing Rule 5550(a)(2), and provides Nasdaq with a written notice of its intention to cure this deficiency during the second compliance period, by effecting a reverse stock split, if necessary. We did not regain compliance within the initial 180-day compliance period and on June 9, 2026, we provided Nasdaq with such notice to request an additional 180-day compliance period be granted to us. The request was granted to the Company on June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1301-03, 13/f Shatin Galleria, 18-24 Shan Mei St, Fotan, Shatin, Hong Kong. Our telephone number at this address is 00852-26870272. Our registered office in the Cayman Islands is located at PO Box 309, Ugland House, Grand Cayman, KY1-1104, Cayman Islands, and the phone number of our registered office is +1 345 949 8066. Investors should submit any inquiries to the address and telephone number of our principal executive offices. Our corporate website is http://www.ccsc-interconnect.com. The information contained on our websites is not a part of our annual report. Our agent for service of process in the United States, Cogency Global Inc., is located at 122 East 42nd Street, 18th Floor, New York, New York 10168.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proxy, and information statements, and other information regarding issuers that file electronically with the SEC using its EDGAR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our principal capital expenditures, see “Item 5. Operating and Financial Review and Prospects-B. Liquidity and Capital Resources-Capital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As a holding company with no material operations of its own, we conduct our operations through operating direct wholly-owned subsidiaries established in Hong Kong, mainland China, the Netherlands, and Serbia primarily in the sale, design and manufacturing of interconnect products, including connectors, cables and wire harnesses. As of the date of this annual report, we have a diversified global customer base located in more than 25 countries throughout Asia, Europe and the Americas.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Interconnect products are essential components that form physical or logical connections between two electronic devices or networks. We specialize in customized interconnect products, including connectors, cables and harnesses that are used for a range of applications in a diversified set of industries, including industrial, automotive, robotics, medical equipment, computer, network and telecommunication, and consumer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produce both OEM and ODM interconnect products for manufacturing companies that produce end products, as well as electronic manufacturing services (“EMS”) companies, who procure and assemble products on behalf of such companies. OEM products refer to products we manufacture based on design and specifications provided by customers, while ODM products refer to those products that we design, develop and manufacture based on the specifications provided by customers. For the fiscal years ended March 31, 2026, 2025, and 2024, almost all, or more than 99% of our sales were attributed to manufacturing companies and EMSs, while the remaining sales were attributed to dealers who resell interconnect products. Many of our customers are global name-brand manufacturers, such as Universal Robots, Linak A/S, Flextronics, Maersk, Danfoss, Bitzer, Fideltronic and Vtech, with whom we have established long-term working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work closely with our customers in developing products and providing solutions that meet their specific requirements for the end applications, and believe that our focus on customers’ needs has contributed to our steady growth in the last two decades. We strive to achieve high customer satisfaction by (1) providing value-added services such as our “design for manufacturing” (“DFM”) analysis, through which we routinely analyze product design and specifications based on end application requirements to ensure final products achieve optimal results for customers, and (2) providing prompt and effective responses to customer inquiries and requests by utilizing our in-house management information system, which is designed to store, track and analyze data collected from various operational units, including sales, procurement, production, quality control, and engineering. Additionally, in order to better service our growing customer base in Europe, in 2016, we established our Netherlands subsidiary, CCSC Interconnect NL, which has since served as our Europe logistics and service hub.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deliver quality products at competitive prices through a vertically integrated production process. CCSC Interconnect DG, our PRC subsidiary, is our manufacturing and product development hub. CCSC Interconnect DG leases a facility in Dongguan, Guangdong Province, where more than 220 employees carry out design and development, engineering, manufacturing and assembly, and quality control of our products. While we strive to achieve efficiency and low costs by standardizing and optimizing certain processes across the production cycle, we understand the importance of maintaining the quality of our products. Our team of more than 20 quality assurance specialists strictly enforce our quality control protocols at every step of the production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research and development capabilities have been a cornerstone of our success. Our engineering team that is responsible for product research and development currently has 18 employees, many of whom are experienced mechanical and electrical engineers. We hold the rights to 61 patents registered with the PRC intellectual property agency and CCSC Interconnect DG has been certified as a HNTE since 2016. Recently, CCSC Interconnect DG renewed its HNTE certificate in 2025, and can enjoy a preferred income tax rate of 15% by the year end of 2027. In July 2023, CCSC Interconnect DG was selected by the Ministry of Industry and Information Technology (MIIT) of China as a “Specialized Refinement Differential Innovation Little Giant Enterprise”, a recognition given to small and medium-sized enterprises that specialize in niche sectors and boast strong innovative capability.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launched eNaviX, a dedicated carbon footprint and energy management system for small and medium enterprises (“SMEs”) featuring patented sustainable cooling architectures, which assists clients in standardizing ESG reporting, controlling compliance risks, and realizing carbon credit benefits. We also own a portfolio of intellectual property, including 18 trademarks registered in Hong Kong, Malaysia, Taiwan, Singapore, Indonesia, and the European Union, and four patents registered with the Hong Kong and Taiwan intellectual property agencies relating to confidential technical information and technological expertise in manufacturing liquid cooling cabinets. We intend to continually invest in our engineering team and further enhance our research and development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commenced construction of a new European supply chain management center in Merosina, Serbia, which further expands our regional footprint with the goal of mitigating regional supply chain risks and strengthening customer retention and market expansion. The construction project is expected to be completed and ready for operational use in December 2026. In addition, we acquired an intelligent logistics simulation system and a smart manufacturing platform, which are designed to jointly optimize supply chain planning, inventory management, and production processes. These technological enhancements are aimed at improving operational efficiency, reducing operating costs, and enhancing product precision and production yields, and we believe they create distinct competitive advantages for 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led by a management team with extensive experience in the research and development, manufacturing, and commercialization of interconnect products. We believe our management team is well positioned to lead us through the development and commercialization of new products, while maintaining and improving the market position of our existing products. Our revenue was $17,302,744, $17,631,489, and $14,748,551 for the fiscal years ended March 31, 2026, 2025, and 2024, respectively. Our net loss was $4,805,561, $1,410,465, and $1,295,163 for the fiscal years ended March 31, 2026,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strengths enable us to capture business opportunities and differentiate us from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Established long-term relationships with customers and key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long-term business relationships, which often date back more than ten years, with many of our key customers who are global brand name manufacturers and EMSs in a number of industries. For each of our key customers, we also typically supply a wide range of products. Such relationships help solidify our status as the preferred core supplier for these customers and have offered opportunities for us to identify general trends in these industries in order to understand the long-term business needs of our customers. We have also strived to maintain long term business relationships with our key suppliers to ensure reliable supply of key components and 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High standard and commitment to quality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strong quality control enhances product value, which results in satisfied and loyal customers. To that end, we set stringent production and quality control protocols designed to ensure that our products meet or often exceed relevant industry standards and customer requirements. We have a quality control team of more than 20 employees, who carry out day-to-day quality control functions at each stage of our production process, from raw material selection, product design and development, to manufacturing and testing. Additionally, we impose stringent standards on the selection of our suppliers and subcontractors to ensure the quality of our products. In a continuous effort to meet various international production and quality manufacturing standards, we have been certified by the ISO, specifically as to the following: ISO 9001 (quality management), 14001 (environment management), 45001 (occupational health and safety), and 13485 (medical devices quality management). In addition, we have also been certified to the IATF 16949, which is a technical specification for quality management systems in the automotive sector established by the International Automotive Task Force. In June 2023, our HK subsidiary, CCSC Interconnect HK was certified to the Sustainable Development Goals (“SDG”) Certificate, which aligns with the “SDG 12: Responsible Consumption and Production” under United Nations Development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Strong focus on customers’ needs and value-added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and manufacture products from the perspective of our customers in terms of raw material selection, functional and structural specifications, and technical requirements. Many of our products are customized and made-to-order in accordance with such specifications based on their end applications by end users. Our engineering team has built a solid reputation with our customers by providing value-added services such as our “DFM” analysis, partnering with customers every step of the way, from the initial concept and design to the prototype and final production. To provide prompt and effective responses to customer requests and inquiries, we use an in-house management information system to store, track and analyze each customer’s information collected from various operational units, including sales, production, quality control, engineering, and research and development. All of the above have empowered us to develop a deep understanding of the specific needs of each of our customers and deliver products and solutions that meet or exceed the expectations of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Vertically integrated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in house all phases of our production process, including product design and development, engineering, manufacturing and assembly, creating a vertically integrated process that contributes to attractive financial characteristics. Based on our historical results of operations, we estimate that approximately 90% of our costs are comprised of direct materials and labor costs, which are flexible and variable by nature. Through our vertically integrated production, we can benefit by rapidly implementing design changes, control the quality of production, ensure timely delivery of products, purchase raw materials directly from suppliers to avoid charges by middlemen, and easily allow our key customers to audit our corporate practices and product quality, all of which have led to demonstrable customer satisfaction and loyalty.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Experienced management team and dedicated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led by our executive directors and senior management, possesses a demonstrated track record of managing and growing our business for the past twenty years. All members of our senior management have extensive experience, ranging from ten to thirty years, in the development, manufacturing, and commercialization of interconnect products. Our workforce is highly skilled in their specialized lines of business. We selectively recruit qualified employees, and provide continuous professional development training for our staff. We have some of the most dedicated employees. Approximately 71% of our employees have been with us for more than 5 years, and approximately 44% for more than ten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pursue the following strategies to further grow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Upgrade facility and management system to enhance operational efficiency and increase 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continually grow and expand our business, we believe it is important to enhance operational efficiency to achieve further cost-savings, as well as expand production capacity to meet the additional demand for our products. To that end, we intend to (1) increase the level of automation of our production process, primarily through the upgrade and replacement of existing semi-automatic and manual machinery to fully-automated machinery, to reduce production costs and increase output, and (2) upgrade and optimize our management information system and other applications that integrate our system with those of our customers and suppliers, to improve operational efficiency and reduce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 new customer base and increase product offering to existing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preferred vendors of many global brand-name manufactures and have established long-term working relationships with our key customers. Leveraging on such relationships and our in-depth industry knowledge, we intend to further expand our business with our existing customers through promotions and offering new and improved products. We also intend to expand our customer base by closely monitoring and studying industry trends, assessing the needs of potential customers, and aggressively seizing opportunities to promote and present our products and services to them. In addition, to attract, support and develop business with potential customers, we have and may set up additional regional sales offices or may cooperate with regional logistics/warehouse service providers in different regions where such potential customers are located. For example, in 2016, we established our regional office in the Netherlands to better serve our growing customer base in Europe. Furthermore, in January 2026, we commenced construction of a new European supply chain management center in Merosina, Serbia, which further expands our regional footprint, with the goal of mitigating regional supply chain risks and strengthening customer retention and market expansion. The construction project is expected to be completed and ready for operational use in December 2026. This center will serve as the headquarters of our supply chain operations in Europe to support our operations across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Accelerate our sales and marketing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further strengthen our sales and marketing efforts through marketing campaigns and participation in trade shows and industrial exhibitions, as well as other promotional events, to improve our sales performance. We have and will continue to attend the Electronica trade fair for the electronics industry held once in every two years in Munich, Germany, which event is attended by many of our existing and potential customers. Additionally, we plan to participate in other industrial exhibitions, including those to be held in the PRC, such as the CMEF China Medical Equipment Fair and Shanghai International Medical Devices Exhibition for the medical and healthcare industry, China Robot Show and Shenzhen International Industrial Automation and Robot Exhibition for the robotics industry. Further, we plan to recruit more experienced sales and marketing executives and staff to accelerate our sales and marketing efforts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Continue to invest in research and development and cultivate engineering talents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research and development capability has always been a cornerstone of our past success, and we plan to continually invest in our engineering team to strengthen our research and development capability. We highly value the skills and talents of our engineering team and have been actively recruiting talented engineers to join our team. To that end, we maintain collaborative relationships with relevant universities and colleges and recruit qualified graduates to meet the needs of our team. We also cultivate our engineering talents by providing vocational training and mentoring, as well as long-term career development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Pursue expansion through strategic acquisitions and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developing company and believe well-executed strategic acquisitions and collaboration help accelerate growth of business and strengthen market position. Accordingly, we intend to seek opportunities for strategic acquisitions of high potential companies with strong management teams that complement our existing business, to further expand our product portfolio, technological capabilities and geographic presence. Where applicable, we may also pursue other growth strategies, such as licensing of third-party technology, joint ventures or other forms of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manufacture a broad portfolio of interconnect products, including connectors, cables and wire harnesses for various end applications in a set of diversified industries, including industrial, medical equipment, computer, network and communication, automotive, robotic, and consumer appliance.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Connectors are electromechanical devices used to join electrical conductors and create electrical circuits. A connector bridges communication between blocked or isolated electrical circuits so that the current flows and the electrical circuit may achieve its intended function. A typical connector is usually composed of three parts: a plastic body, a plastic shell, and metal terminals. We manufacture standard and customized connectors used in various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some of our connector products and their applications.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50"/>
        <w:gridCol w:w="90"/>
        <w:gridCol w:w="2022"/>
        <w:gridCol w:w="90"/>
        <w:gridCol w:w="3208"/>
        <w:gridCol w:w="90"/>
        <w:gridCol w:w="1855"/>
      </w:tblGrid>
      <w:tr>
        <w:trPr/>
        <w:tc>
          <w:tcPr>
            <w:tcW w:w="2850" w:type="dxa"/>
            <w:tcBorders>
              <w:bottom w:val="single" w:sz="12" w:space="0" w:color="000000"/>
            </w:tcBorders>
            <w:vAlign w:val="center"/>
          </w:tcPr>
          <w:p>
            <w:pPr>
              <w:pStyle w:val="TableContents"/>
              <w:bidi w:val="0"/>
              <w:spacing w:before="0" w:after="283"/>
              <w:jc w:val="left"/>
              <w:rPr>
                <w:b/>
                <w:sz w:val="20"/>
              </w:rPr>
            </w:pPr>
            <w:r>
              <w:rPr>
                <w:b/>
                <w:sz w:val="20"/>
              </w:rPr>
              <w:t>Type of connector</w:t>
            </w:r>
          </w:p>
        </w:tc>
        <w:tc>
          <w:tcPr>
            <w:tcW w:w="90" w:type="dxa"/>
            <w:tcBorders/>
            <w:tcMar>
              <w:bottom w:w="0" w:type="dxa"/>
            </w:tcMar>
            <w:vAlign w:val="center"/>
          </w:tcPr>
          <w:p>
            <w:pPr>
              <w:pStyle w:val="TableContents"/>
              <w:bidi w:val="0"/>
              <w:spacing w:before="0" w:after="283"/>
              <w:jc w:val="left"/>
              <w:rPr/>
            </w:pPr>
            <w:r>
              <w:rPr/>
              <w:t> </w:t>
            </w:r>
          </w:p>
        </w:tc>
        <w:tc>
          <w:tcPr>
            <w:tcW w:w="2022" w:type="dxa"/>
            <w:tcBorders>
              <w:bottom w:val="single" w:sz="12" w:space="0" w:color="000000"/>
            </w:tcBorders>
            <w:vAlign w:val="center"/>
          </w:tcPr>
          <w:p>
            <w:pPr>
              <w:pStyle w:val="TableContents"/>
              <w:bidi w:val="0"/>
              <w:spacing w:before="0" w:after="283"/>
              <w:jc w:val="center"/>
              <w:rPr>
                <w:b/>
                <w:sz w:val="20"/>
              </w:rPr>
            </w:pPr>
            <w:r>
              <w:rPr>
                <w:b/>
                <w:sz w:val="20"/>
              </w:rPr>
              <w:t>Industry</w:t>
            </w:r>
          </w:p>
        </w:tc>
        <w:tc>
          <w:tcPr>
            <w:tcW w:w="90" w:type="dxa"/>
            <w:tcBorders/>
            <w:tcMar>
              <w:bottom w:w="0" w:type="dxa"/>
            </w:tcMar>
            <w:vAlign w:val="center"/>
          </w:tcPr>
          <w:p>
            <w:pPr>
              <w:pStyle w:val="TableContents"/>
              <w:bidi w:val="0"/>
              <w:spacing w:before="0" w:after="283"/>
              <w:jc w:val="left"/>
              <w:rPr/>
            </w:pPr>
            <w:r>
              <w:rPr/>
              <w:t> </w:t>
            </w:r>
          </w:p>
        </w:tc>
        <w:tc>
          <w:tcPr>
            <w:tcW w:w="3208" w:type="dxa"/>
            <w:tcBorders>
              <w:bottom w:val="single" w:sz="12" w:space="0" w:color="000000"/>
            </w:tcBorders>
            <w:vAlign w:val="center"/>
          </w:tcPr>
          <w:p>
            <w:pPr>
              <w:pStyle w:val="TableContents"/>
              <w:bidi w:val="0"/>
              <w:spacing w:before="0" w:after="283"/>
              <w:jc w:val="center"/>
              <w:rPr>
                <w:b/>
                <w:sz w:val="20"/>
              </w:rPr>
            </w:pPr>
            <w:r>
              <w:rPr>
                <w:b/>
                <w:sz w:val="20"/>
              </w:rPr>
              <w:t>End Application/Products</w:t>
            </w:r>
          </w:p>
        </w:tc>
        <w:tc>
          <w:tcPr>
            <w:tcW w:w="90" w:type="dxa"/>
            <w:tcBorders/>
            <w:tcMar>
              <w:bottom w:w="0" w:type="dxa"/>
            </w:tcMar>
            <w:vAlign w:val="center"/>
          </w:tcPr>
          <w:p>
            <w:pPr>
              <w:pStyle w:val="TableContents"/>
              <w:bidi w:val="0"/>
              <w:spacing w:before="0" w:after="283"/>
              <w:jc w:val="left"/>
              <w:rPr/>
            </w:pPr>
            <w:r>
              <w:rPr/>
              <w:t> </w:t>
            </w:r>
          </w:p>
        </w:tc>
        <w:tc>
          <w:tcPr>
            <w:tcW w:w="1855"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285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to Board</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781175" cy="1438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1438275"/>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pPr>
            <w:r>
              <w:rPr/>
              <w:t> </w:t>
            </w:r>
          </w:p>
        </w:tc>
        <w:tc>
          <w:tcPr>
            <w:tcW w:w="2022" w:type="dxa"/>
            <w:tcBorders/>
            <w:tcMar>
              <w:bottom w:w="0" w:type="dxa"/>
            </w:tcMar>
            <w:vAlign w:val="center"/>
          </w:tcPr>
          <w:p>
            <w:pPr>
              <w:pStyle w:val="TableContents"/>
              <w:bidi w:val="0"/>
              <w:spacing w:before="0" w:after="283"/>
              <w:jc w:val="both"/>
              <w:rPr>
                <w:sz w:val="20"/>
              </w:rPr>
            </w:pPr>
            <w:r>
              <w:rPr>
                <w:sz w:val="20"/>
              </w:rPr>
              <w:t>Computer, network and communication, consumer appliances, medical</w:t>
            </w:r>
          </w:p>
        </w:tc>
        <w:tc>
          <w:tcPr>
            <w:tcW w:w="90" w:type="dxa"/>
            <w:tcBorders/>
            <w:tcMar>
              <w:bottom w:w="0" w:type="dxa"/>
            </w:tcMar>
            <w:vAlign w:val="center"/>
          </w:tcPr>
          <w:p>
            <w:pPr>
              <w:pStyle w:val="TableContents"/>
              <w:bidi w:val="0"/>
              <w:spacing w:before="0" w:after="283"/>
              <w:jc w:val="left"/>
              <w:rPr/>
            </w:pPr>
            <w:r>
              <w:rPr/>
              <w:t> </w:t>
            </w:r>
          </w:p>
        </w:tc>
        <w:tc>
          <w:tcPr>
            <w:tcW w:w="3208" w:type="dxa"/>
            <w:tcBorders/>
            <w:tcMar>
              <w:bottom w:w="0" w:type="dxa"/>
            </w:tcMar>
            <w:vAlign w:val="center"/>
          </w:tcPr>
          <w:p>
            <w:pPr>
              <w:pStyle w:val="TableContents"/>
              <w:bidi w:val="0"/>
              <w:spacing w:before="0" w:after="283"/>
              <w:jc w:val="both"/>
              <w:rPr>
                <w:sz w:val="20"/>
              </w:rPr>
            </w:pPr>
            <w:r>
              <w:rPr>
                <w:sz w:val="20"/>
              </w:rPr>
              <w:t>Personal computer and server, telecom switches, video conference equipment; networking equipment (modem, router, switch, network attached storage)</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sz w:val="20"/>
              </w:rPr>
            </w:pPr>
            <w:r>
              <w:rPr>
                <w:sz w:val="20"/>
              </w:rPr>
              <w:t>Connect signals between two printed circuit boards (“PCB”) without a cable</w:t>
            </w:r>
          </w:p>
        </w:tc>
      </w:tr>
      <w:tr>
        <w:trPr/>
        <w:tc>
          <w:tcPr>
            <w:tcW w:w="28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22"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208"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pPr>
            <w:r>
              <w:rPr/>
              <w:t> </w:t>
            </w:r>
          </w:p>
        </w:tc>
      </w:tr>
      <w:tr>
        <w:trPr/>
        <w:tc>
          <w:tcPr>
            <w:tcW w:w="285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Wire to Board</w:t>
            </w:r>
          </w:p>
          <w:p>
            <w:pPr>
              <w:pStyle w:val="TableContents"/>
              <w:bidi w:val="0"/>
              <w:spacing w:before="0" w:after="283"/>
              <w:ind w:left="0" w:right="0" w:hanging="0"/>
              <w:jc w:val="left"/>
              <w:rPr/>
            </w:pPr>
            <w:r>
              <w:rPr/>
              <w:drawing>
                <wp:inline distT="0" distB="0" distL="0" distR="0">
                  <wp:extent cx="1552575" cy="1047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52575" cy="1047750"/>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pPr>
            <w:r>
              <w:rPr/>
              <w:t> </w:t>
            </w:r>
          </w:p>
        </w:tc>
        <w:tc>
          <w:tcPr>
            <w:tcW w:w="2022" w:type="dxa"/>
            <w:tcBorders/>
            <w:tcMar>
              <w:bottom w:w="0" w:type="dxa"/>
            </w:tcMar>
            <w:vAlign w:val="center"/>
          </w:tcPr>
          <w:p>
            <w:pPr>
              <w:pStyle w:val="TableContents"/>
              <w:bidi w:val="0"/>
              <w:spacing w:before="0" w:after="283"/>
              <w:jc w:val="both"/>
              <w:rPr>
                <w:sz w:val="20"/>
              </w:rPr>
            </w:pPr>
            <w:r>
              <w:rPr>
                <w:sz w:val="20"/>
              </w:rPr>
              <w:t>Industrial, medical equipment, consumer appliances</w:t>
            </w:r>
          </w:p>
        </w:tc>
        <w:tc>
          <w:tcPr>
            <w:tcW w:w="90" w:type="dxa"/>
            <w:tcBorders/>
            <w:tcMar>
              <w:bottom w:w="0" w:type="dxa"/>
            </w:tcMar>
            <w:vAlign w:val="center"/>
          </w:tcPr>
          <w:p>
            <w:pPr>
              <w:pStyle w:val="TableContents"/>
              <w:bidi w:val="0"/>
              <w:spacing w:before="0" w:after="283"/>
              <w:jc w:val="left"/>
              <w:rPr/>
            </w:pPr>
            <w:r>
              <w:rPr/>
              <w:t> </w:t>
            </w:r>
          </w:p>
        </w:tc>
        <w:tc>
          <w:tcPr>
            <w:tcW w:w="3208" w:type="dxa"/>
            <w:tcBorders/>
            <w:tcMar>
              <w:bottom w:w="0" w:type="dxa"/>
            </w:tcMar>
            <w:vAlign w:val="center"/>
          </w:tcPr>
          <w:p>
            <w:pPr>
              <w:pStyle w:val="TableContents"/>
              <w:bidi w:val="0"/>
              <w:spacing w:before="0" w:after="283"/>
              <w:jc w:val="both"/>
              <w:rPr>
                <w:sz w:val="20"/>
              </w:rPr>
            </w:pPr>
            <w:r>
              <w:rPr>
                <w:sz w:val="20"/>
              </w:rPr>
              <w:t>Power supply, electric actuator for hospital bed, computer mainboard, lighting equipment for architecture lighting and concert lighting, washing machine, coffee machine, television</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sz w:val="20"/>
              </w:rPr>
            </w:pPr>
            <w:r>
              <w:rPr>
                <w:sz w:val="20"/>
              </w:rPr>
              <w:t>Connect wires to a printed circuit board (“PCB”)</w:t>
            </w:r>
          </w:p>
        </w:tc>
      </w:tr>
      <w:tr>
        <w:trPr/>
        <w:tc>
          <w:tcPr>
            <w:tcW w:w="28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22"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208"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pPr>
            <w:r>
              <w:rPr/>
              <w:t> </w:t>
            </w:r>
          </w:p>
        </w:tc>
      </w:tr>
      <w:tr>
        <w:trPr/>
        <w:tc>
          <w:tcPr>
            <w:tcW w:w="285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495425" cy="1066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5425" cy="1066800"/>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pPr>
            <w:r>
              <w:rPr/>
              <w:t> </w:t>
            </w:r>
          </w:p>
        </w:tc>
        <w:tc>
          <w:tcPr>
            <w:tcW w:w="2022" w:type="dxa"/>
            <w:tcBorders/>
            <w:tcMar>
              <w:bottom w:w="0" w:type="dxa"/>
            </w:tcMar>
            <w:vAlign w:val="center"/>
          </w:tcPr>
          <w:p>
            <w:pPr>
              <w:pStyle w:val="TableContents"/>
              <w:bidi w:val="0"/>
              <w:spacing w:before="0" w:after="283"/>
              <w:jc w:val="both"/>
              <w:rPr>
                <w:sz w:val="20"/>
              </w:rPr>
            </w:pPr>
            <w:r>
              <w:rPr>
                <w:sz w:val="20"/>
              </w:rPr>
              <w:t>Robotic, industrial, automotive</w:t>
            </w:r>
          </w:p>
        </w:tc>
        <w:tc>
          <w:tcPr>
            <w:tcW w:w="90" w:type="dxa"/>
            <w:tcBorders/>
            <w:tcMar>
              <w:bottom w:w="0" w:type="dxa"/>
            </w:tcMar>
            <w:vAlign w:val="center"/>
          </w:tcPr>
          <w:p>
            <w:pPr>
              <w:pStyle w:val="TableContents"/>
              <w:bidi w:val="0"/>
              <w:spacing w:before="0" w:after="283"/>
              <w:jc w:val="left"/>
              <w:rPr/>
            </w:pPr>
            <w:r>
              <w:rPr/>
              <w:t> </w:t>
            </w:r>
          </w:p>
        </w:tc>
        <w:tc>
          <w:tcPr>
            <w:tcW w:w="3208" w:type="dxa"/>
            <w:tcBorders/>
            <w:tcMar>
              <w:bottom w:w="0" w:type="dxa"/>
            </w:tcMar>
            <w:vAlign w:val="center"/>
          </w:tcPr>
          <w:p>
            <w:pPr>
              <w:pStyle w:val="TableContents"/>
              <w:bidi w:val="0"/>
              <w:spacing w:before="0" w:after="283"/>
              <w:jc w:val="both"/>
              <w:rPr>
                <w:sz w:val="20"/>
              </w:rPr>
            </w:pPr>
            <w:r>
              <w:rPr>
                <w:sz w:val="20"/>
              </w:rPr>
              <w:t>Robot arm, industrial freezer for truck, lighting equipment for architecture lighting and concert lighting, industrial equipment power supply, automotive audio, car seat heating, car headlight</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sz w:val="20"/>
              </w:rPr>
            </w:pPr>
            <w:r>
              <w:rPr>
                <w:sz w:val="20"/>
              </w:rPr>
              <w:t>Connect devices to power sources</w:t>
            </w:r>
          </w:p>
        </w:tc>
      </w:tr>
      <w:tr>
        <w:trPr/>
        <w:tc>
          <w:tcPr>
            <w:tcW w:w="28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22"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208"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pPr>
            <w:r>
              <w:rPr/>
              <w:t> </w:t>
            </w:r>
          </w:p>
        </w:tc>
      </w:tr>
      <w:tr>
        <w:trPr/>
        <w:tc>
          <w:tcPr>
            <w:tcW w:w="285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 Output</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457325" cy="1095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57325" cy="1095375"/>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pPr>
            <w:r>
              <w:rPr/>
              <w:t> </w:t>
            </w:r>
          </w:p>
        </w:tc>
        <w:tc>
          <w:tcPr>
            <w:tcW w:w="2022" w:type="dxa"/>
            <w:tcBorders/>
            <w:tcMar>
              <w:bottom w:w="0" w:type="dxa"/>
            </w:tcMar>
            <w:vAlign w:val="center"/>
          </w:tcPr>
          <w:p>
            <w:pPr>
              <w:pStyle w:val="TableContents"/>
              <w:bidi w:val="0"/>
              <w:spacing w:before="0" w:after="283"/>
              <w:jc w:val="both"/>
              <w:rPr>
                <w:sz w:val="20"/>
              </w:rPr>
            </w:pPr>
            <w:r>
              <w:rPr>
                <w:sz w:val="20"/>
              </w:rPr>
              <w:t>Industrial, consumer appliance</w:t>
            </w:r>
          </w:p>
        </w:tc>
        <w:tc>
          <w:tcPr>
            <w:tcW w:w="90" w:type="dxa"/>
            <w:tcBorders/>
            <w:tcMar>
              <w:bottom w:w="0" w:type="dxa"/>
            </w:tcMar>
            <w:vAlign w:val="center"/>
          </w:tcPr>
          <w:p>
            <w:pPr>
              <w:pStyle w:val="TableContents"/>
              <w:bidi w:val="0"/>
              <w:spacing w:before="0" w:after="283"/>
              <w:jc w:val="left"/>
              <w:rPr/>
            </w:pPr>
            <w:r>
              <w:rPr/>
              <w:t> </w:t>
            </w:r>
          </w:p>
        </w:tc>
        <w:tc>
          <w:tcPr>
            <w:tcW w:w="3208" w:type="dxa"/>
            <w:tcBorders/>
            <w:tcMar>
              <w:bottom w:w="0" w:type="dxa"/>
            </w:tcMar>
            <w:vAlign w:val="center"/>
          </w:tcPr>
          <w:p>
            <w:pPr>
              <w:pStyle w:val="TableContents"/>
              <w:bidi w:val="0"/>
              <w:spacing w:before="0" w:after="283"/>
              <w:jc w:val="both"/>
              <w:rPr>
                <w:sz w:val="20"/>
              </w:rPr>
            </w:pPr>
            <w:r>
              <w:rPr>
                <w:sz w:val="20"/>
              </w:rPr>
              <w:t>Computer equipment and peripheral set top box, robotic arms, smart devices and modules</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sz w:val="20"/>
              </w:rPr>
            </w:pPr>
            <w:r>
              <w:rPr>
                <w:sz w:val="20"/>
              </w:rPr>
              <w:t>Connect external devices, such as printers, keyboards, and displays to servers.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Cables and Wire harness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Cables and wire harnesses are devices used to transmit electric or magnetic energy, exchange information, generate electromagnetic energy conversion, and form automated control routes. Cables and wire harnesses have similar structures, except that wire harnesses have no outer sheaths and are mainly composed of conductors and insulators. Cables, on the other hand, are mainly composed of conductors, insulators, and additional outer sheathes, which provide extra protection against external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manufacture varieties of cables and wire harnesses for applications in products in various industries. A number of our cables and wire harnesses are custom designed based on technical requirements for specific applications in different industries. The table below illustrates some of our cable and wire harness products and their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97"/>
        <w:gridCol w:w="90"/>
        <w:gridCol w:w="1451"/>
        <w:gridCol w:w="90"/>
        <w:gridCol w:w="1855"/>
        <w:gridCol w:w="90"/>
        <w:gridCol w:w="3832"/>
      </w:tblGrid>
      <w:tr>
        <w:trPr/>
        <w:tc>
          <w:tcPr>
            <w:tcW w:w="2797" w:type="dxa"/>
            <w:tcBorders>
              <w:bottom w:val="single" w:sz="12" w:space="0" w:color="000000"/>
            </w:tcBorders>
            <w:vAlign w:val="center"/>
          </w:tcPr>
          <w:p>
            <w:pPr>
              <w:pStyle w:val="TableContents"/>
              <w:bidi w:val="0"/>
              <w:spacing w:before="0" w:after="283"/>
              <w:jc w:val="left"/>
              <w:rPr>
                <w:b/>
                <w:sz w:val="20"/>
              </w:rPr>
            </w:pPr>
            <w:r>
              <w:rPr>
                <w:b/>
                <w:sz w:val="20"/>
              </w:rPr>
              <w:t>Type of cable and wire harness</w:t>
            </w:r>
          </w:p>
        </w:tc>
        <w:tc>
          <w:tcPr>
            <w:tcW w:w="90" w:type="dxa"/>
            <w:tcBorders/>
            <w:tcMar>
              <w:bottom w:w="0" w:type="dxa"/>
            </w:tcMar>
            <w:vAlign w:val="center"/>
          </w:tcPr>
          <w:p>
            <w:pPr>
              <w:pStyle w:val="TableContents"/>
              <w:bidi w:val="0"/>
              <w:spacing w:before="0" w:after="283"/>
              <w:jc w:val="left"/>
              <w:rPr/>
            </w:pPr>
            <w:r>
              <w:rPr/>
              <w:t> </w:t>
            </w:r>
          </w:p>
        </w:tc>
        <w:tc>
          <w:tcPr>
            <w:tcW w:w="1451" w:type="dxa"/>
            <w:tcBorders>
              <w:bottom w:val="single" w:sz="12" w:space="0" w:color="000000"/>
            </w:tcBorders>
            <w:vAlign w:val="center"/>
          </w:tcPr>
          <w:p>
            <w:pPr>
              <w:pStyle w:val="TableContents"/>
              <w:bidi w:val="0"/>
              <w:spacing w:before="0" w:after="283"/>
              <w:jc w:val="center"/>
              <w:rPr>
                <w:b/>
                <w:sz w:val="20"/>
              </w:rPr>
            </w:pPr>
            <w:r>
              <w:rPr>
                <w:b/>
                <w:sz w:val="20"/>
              </w:rPr>
              <w:t>Industry</w:t>
            </w:r>
          </w:p>
        </w:tc>
        <w:tc>
          <w:tcPr>
            <w:tcW w:w="90" w:type="dxa"/>
            <w:tcBorders/>
            <w:tcMar>
              <w:bottom w:w="0" w:type="dxa"/>
            </w:tcMar>
            <w:vAlign w:val="center"/>
          </w:tcPr>
          <w:p>
            <w:pPr>
              <w:pStyle w:val="TableContents"/>
              <w:bidi w:val="0"/>
              <w:spacing w:before="0" w:after="283"/>
              <w:jc w:val="left"/>
              <w:rPr/>
            </w:pPr>
            <w:r>
              <w:rPr/>
              <w:t> </w:t>
            </w:r>
          </w:p>
        </w:tc>
        <w:tc>
          <w:tcPr>
            <w:tcW w:w="1855" w:type="dxa"/>
            <w:tcBorders>
              <w:bottom w:val="single" w:sz="12" w:space="0" w:color="000000"/>
            </w:tcBorders>
            <w:vAlign w:val="center"/>
          </w:tcPr>
          <w:p>
            <w:pPr>
              <w:pStyle w:val="TableContents"/>
              <w:bidi w:val="0"/>
              <w:spacing w:before="0" w:after="283"/>
              <w:jc w:val="center"/>
              <w:rPr>
                <w:b/>
                <w:sz w:val="20"/>
              </w:rPr>
            </w:pPr>
            <w:r>
              <w:rPr>
                <w:b/>
                <w:sz w:val="20"/>
              </w:rPr>
              <w:t>End Application</w:t>
            </w:r>
          </w:p>
        </w:tc>
        <w:tc>
          <w:tcPr>
            <w:tcW w:w="90" w:type="dxa"/>
            <w:tcBorders/>
            <w:tcMar>
              <w:bottom w:w="0" w:type="dxa"/>
            </w:tcMar>
            <w:vAlign w:val="center"/>
          </w:tcPr>
          <w:p>
            <w:pPr>
              <w:pStyle w:val="TableContents"/>
              <w:bidi w:val="0"/>
              <w:spacing w:before="0" w:after="283"/>
              <w:jc w:val="left"/>
              <w:rPr/>
            </w:pPr>
            <w:r>
              <w:rPr/>
              <w:t> </w:t>
            </w:r>
          </w:p>
        </w:tc>
        <w:tc>
          <w:tcPr>
            <w:tcW w:w="3832" w:type="dxa"/>
            <w:tcBorders>
              <w:bottom w:val="single" w:sz="12" w:space="0" w:color="000000"/>
            </w:tcBorders>
            <w:vAlign w:val="center"/>
          </w:tcPr>
          <w:p>
            <w:pPr>
              <w:pStyle w:val="TableContents"/>
              <w:bidi w:val="0"/>
              <w:spacing w:before="0" w:after="283"/>
              <w:jc w:val="center"/>
              <w:rPr>
                <w:b/>
                <w:sz w:val="20"/>
              </w:rPr>
            </w:pPr>
            <w:r>
              <w:rPr>
                <w:b/>
                <w:sz w:val="20"/>
              </w:rPr>
              <w:t>Technical</w:t>
              <w:br/>
              <w:t>requirements/Specification</w:t>
            </w:r>
          </w:p>
        </w:tc>
      </w:tr>
      <w:tr>
        <w:trPr/>
        <w:tc>
          <w:tcPr>
            <w:tcW w:w="279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Waterproof cable</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466850" cy="695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6850" cy="695325"/>
                          </a:xfrm>
                          <a:prstGeom prst="rect">
                            <a:avLst/>
                          </a:prstGeom>
                        </pic:spPr>
                      </pic:pic>
                    </a:graphicData>
                  </a:graphic>
                </wp:inline>
              </w:drawing>
            </w: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1451"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w:t>
            </w:r>
          </w:p>
          <w:p>
            <w:pPr>
              <w:pStyle w:val="TableContents"/>
              <w:bidi w:val="0"/>
              <w:spacing w:before="0" w:after="0"/>
              <w:ind w:left="0" w:right="0" w:hanging="0"/>
              <w:jc w:val="both"/>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sz w:val="20"/>
              </w:rPr>
            </w:pPr>
            <w:r>
              <w:rPr>
                <w:sz w:val="20"/>
              </w:rPr>
              <w:t>Compressor in refrigerate container, industrial freezer, outdoor lighting cable</w:t>
            </w:r>
          </w:p>
        </w:tc>
        <w:tc>
          <w:tcPr>
            <w:tcW w:w="90" w:type="dxa"/>
            <w:tcBorders/>
            <w:tcMar>
              <w:bottom w:w="0" w:type="dxa"/>
            </w:tcMar>
            <w:vAlign w:val="center"/>
          </w:tcPr>
          <w:p>
            <w:pPr>
              <w:pStyle w:val="TableContents"/>
              <w:bidi w:val="0"/>
              <w:spacing w:before="0" w:after="283"/>
              <w:jc w:val="left"/>
              <w:rPr/>
            </w:pPr>
            <w:r>
              <w:rPr/>
              <w:t> </w:t>
            </w:r>
          </w:p>
        </w:tc>
        <w:tc>
          <w:tcPr>
            <w:tcW w:w="3832" w:type="dxa"/>
            <w:tcBorders/>
            <w:tcMar>
              <w:bottom w:w="0" w:type="dxa"/>
            </w:tcMar>
            <w:vAlign w:val="center"/>
          </w:tcPr>
          <w:p>
            <w:pPr>
              <w:pStyle w:val="TableContents"/>
              <w:bidi w:val="0"/>
              <w:spacing w:before="0" w:after="283"/>
              <w:jc w:val="both"/>
              <w:rPr>
                <w:sz w:val="20"/>
              </w:rPr>
            </w:pPr>
            <w:r>
              <w:rPr>
                <w:sz w:val="20"/>
              </w:rPr>
              <w:t>Waterproof capability meeting the requirement of the IPX7 industrial standard, which certifies that cables and wire harnesses can be submerged under up to one meter of water for 30 minutes and allows the end products to work safely and properly under harsh environmental conditions (i.e. typhoon with heavy raining).</w:t>
            </w:r>
          </w:p>
        </w:tc>
      </w:tr>
      <w:tr>
        <w:trPr/>
        <w:tc>
          <w:tcPr>
            <w:tcW w:w="279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832" w:type="dxa"/>
            <w:tcBorders/>
            <w:tcMar>
              <w:bottom w:w="0" w:type="dxa"/>
            </w:tcMar>
            <w:vAlign w:val="center"/>
          </w:tcPr>
          <w:p>
            <w:pPr>
              <w:pStyle w:val="TableContents"/>
              <w:bidi w:val="0"/>
              <w:spacing w:before="0" w:after="283"/>
              <w:jc w:val="both"/>
              <w:rPr/>
            </w:pPr>
            <w:r>
              <w:rPr/>
              <w:t> </w:t>
            </w:r>
          </w:p>
        </w:tc>
      </w:tr>
      <w:tr>
        <w:trPr/>
        <w:tc>
          <w:tcPr>
            <w:tcW w:w="279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 cable and wire harness with PCBA</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685925" cy="1162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85925" cy="1162050"/>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pPr>
            <w:r>
              <w:rPr/>
              <w:t> </w:t>
            </w:r>
          </w:p>
        </w:tc>
        <w:tc>
          <w:tcPr>
            <w:tcW w:w="1451" w:type="dxa"/>
            <w:tcBorders/>
            <w:tcMar>
              <w:bottom w:w="0" w:type="dxa"/>
            </w:tcMar>
            <w:vAlign w:val="center"/>
          </w:tcPr>
          <w:p>
            <w:pPr>
              <w:pStyle w:val="TableContents"/>
              <w:bidi w:val="0"/>
              <w:spacing w:before="0" w:after="283"/>
              <w:jc w:val="both"/>
              <w:rPr>
                <w:sz w:val="20"/>
              </w:rPr>
            </w:pPr>
            <w:r>
              <w:rPr>
                <w:sz w:val="20"/>
              </w:rPr>
              <w:t>Industrial, consumer appliance</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sz w:val="20"/>
              </w:rPr>
            </w:pPr>
            <w:r>
              <w:rPr>
                <w:sz w:val="20"/>
              </w:rPr>
              <w:t>Lighting equipment (architecture lighting, concert lighting, etc.), industrial catering oven, coffee machine</w:t>
            </w:r>
          </w:p>
        </w:tc>
        <w:tc>
          <w:tcPr>
            <w:tcW w:w="90" w:type="dxa"/>
            <w:tcBorders/>
            <w:tcMar>
              <w:bottom w:w="0" w:type="dxa"/>
            </w:tcMar>
            <w:vAlign w:val="center"/>
          </w:tcPr>
          <w:p>
            <w:pPr>
              <w:pStyle w:val="TableContents"/>
              <w:bidi w:val="0"/>
              <w:spacing w:before="0" w:after="283"/>
              <w:jc w:val="left"/>
              <w:rPr/>
            </w:pPr>
            <w:r>
              <w:rPr/>
              <w:t> </w:t>
            </w:r>
          </w:p>
        </w:tc>
        <w:tc>
          <w:tcPr>
            <w:tcW w:w="3832" w:type="dxa"/>
            <w:tcBorders/>
            <w:tcMar>
              <w:bottom w:w="0" w:type="dxa"/>
            </w:tcMar>
            <w:vAlign w:val="center"/>
          </w:tcPr>
          <w:p>
            <w:pPr>
              <w:pStyle w:val="TableContents"/>
              <w:bidi w:val="0"/>
              <w:spacing w:before="0" w:after="283"/>
              <w:jc w:val="both"/>
              <w:rPr>
                <w:sz w:val="20"/>
              </w:rPr>
            </w:pPr>
            <w:r>
              <w:rPr>
                <w:sz w:val="20"/>
              </w:rPr>
              <w:t>Complex wire harness &amp; assembly with more than 30 different kinds of electric wires bundled together up to 1,000 contact points.</w:t>
            </w:r>
          </w:p>
        </w:tc>
      </w:tr>
      <w:tr>
        <w:trPr/>
        <w:tc>
          <w:tcPr>
            <w:tcW w:w="279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832" w:type="dxa"/>
            <w:tcBorders/>
            <w:tcMar>
              <w:bottom w:w="0" w:type="dxa"/>
            </w:tcMar>
            <w:vAlign w:val="center"/>
          </w:tcPr>
          <w:p>
            <w:pPr>
              <w:pStyle w:val="TableContents"/>
              <w:bidi w:val="0"/>
              <w:spacing w:before="0" w:after="283"/>
              <w:jc w:val="both"/>
              <w:rPr/>
            </w:pPr>
            <w:r>
              <w:rPr/>
              <w:t> </w:t>
            </w:r>
          </w:p>
        </w:tc>
      </w:tr>
      <w:tr>
        <w:trPr/>
        <w:tc>
          <w:tcPr>
            <w:tcW w:w="279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cable and wire harness</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685925" cy="1343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85925" cy="1343025"/>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pPr>
            <w:r>
              <w:rPr/>
              <w:t> </w:t>
            </w:r>
          </w:p>
        </w:tc>
        <w:tc>
          <w:tcPr>
            <w:tcW w:w="1451" w:type="dxa"/>
            <w:tcBorders/>
            <w:tcMar>
              <w:bottom w:w="0" w:type="dxa"/>
            </w:tcMar>
            <w:vAlign w:val="center"/>
          </w:tcPr>
          <w:p>
            <w:pPr>
              <w:pStyle w:val="TableContents"/>
              <w:bidi w:val="0"/>
              <w:spacing w:before="0" w:after="283"/>
              <w:jc w:val="both"/>
              <w:rPr>
                <w:sz w:val="20"/>
              </w:rPr>
            </w:pPr>
            <w:r>
              <w:rPr>
                <w:sz w:val="20"/>
              </w:rPr>
              <w:t>Medical equipment</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sz w:val="20"/>
              </w:rPr>
            </w:pPr>
            <w:r>
              <w:rPr>
                <w:sz w:val="20"/>
              </w:rPr>
              <w:t>Dental x-ray scanner, disinfectant cabinet</w:t>
            </w:r>
          </w:p>
        </w:tc>
        <w:tc>
          <w:tcPr>
            <w:tcW w:w="90" w:type="dxa"/>
            <w:tcBorders/>
            <w:tcMar>
              <w:bottom w:w="0" w:type="dxa"/>
            </w:tcMar>
            <w:vAlign w:val="center"/>
          </w:tcPr>
          <w:p>
            <w:pPr>
              <w:pStyle w:val="TableContents"/>
              <w:bidi w:val="0"/>
              <w:spacing w:before="0" w:after="283"/>
              <w:jc w:val="left"/>
              <w:rPr/>
            </w:pPr>
            <w:r>
              <w:rPr/>
              <w:t> </w:t>
            </w:r>
          </w:p>
        </w:tc>
        <w:tc>
          <w:tcPr>
            <w:tcW w:w="3832" w:type="dxa"/>
            <w:tcBorders/>
            <w:tcMar>
              <w:bottom w:w="0" w:type="dxa"/>
            </w:tcMar>
            <w:vAlign w:val="center"/>
          </w:tcPr>
          <w:p>
            <w:pPr>
              <w:pStyle w:val="TableContents"/>
              <w:bidi w:val="0"/>
              <w:spacing w:before="0" w:after="283"/>
              <w:jc w:val="both"/>
              <w:rPr>
                <w:sz w:val="20"/>
              </w:rPr>
            </w:pPr>
            <w:r>
              <w:rPr>
                <w:sz w:val="20"/>
              </w:rPr>
              <w:t>Medical grade materials specifically designed and engineered for medical use that have passed our stringent in-house testing procedures to ensure long life cycle.</w:t>
            </w:r>
          </w:p>
        </w:tc>
      </w:tr>
      <w:tr>
        <w:trPr/>
        <w:tc>
          <w:tcPr>
            <w:tcW w:w="279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832" w:type="dxa"/>
            <w:tcBorders/>
            <w:tcMar>
              <w:bottom w:w="0" w:type="dxa"/>
            </w:tcMar>
            <w:vAlign w:val="center"/>
          </w:tcPr>
          <w:p>
            <w:pPr>
              <w:pStyle w:val="TableContents"/>
              <w:bidi w:val="0"/>
              <w:spacing w:before="0" w:after="283"/>
              <w:jc w:val="both"/>
              <w:rPr/>
            </w:pPr>
            <w:r>
              <w:rPr/>
              <w:t> </w:t>
            </w:r>
          </w:p>
        </w:tc>
      </w:tr>
      <w:tr>
        <w:trPr/>
        <w:tc>
          <w:tcPr>
            <w:tcW w:w="279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cable</w:t>
            </w:r>
          </w:p>
          <w:p>
            <w:pPr>
              <w:pStyle w:val="TableContents"/>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495425" cy="962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95425" cy="962025"/>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pPr>
            <w:r>
              <w:rPr/>
              <w:t> </w:t>
            </w:r>
          </w:p>
        </w:tc>
        <w:tc>
          <w:tcPr>
            <w:tcW w:w="1451" w:type="dxa"/>
            <w:tcBorders/>
            <w:tcMar>
              <w:bottom w:w="0" w:type="dxa"/>
            </w:tcMar>
            <w:vAlign w:val="center"/>
          </w:tcPr>
          <w:p>
            <w:pPr>
              <w:pStyle w:val="TableContents"/>
              <w:bidi w:val="0"/>
              <w:spacing w:before="0" w:after="283"/>
              <w:jc w:val="left"/>
              <w:rPr>
                <w:sz w:val="20"/>
              </w:rPr>
            </w:pPr>
            <w:r>
              <w:rPr>
                <w:sz w:val="20"/>
              </w:rPr>
              <w:t>Network and communication</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sz w:val="20"/>
              </w:rPr>
            </w:pPr>
            <w:r>
              <w:rPr>
                <w:sz w:val="20"/>
              </w:rPr>
              <w:t>Computer server, switch, router</w:t>
            </w:r>
          </w:p>
        </w:tc>
        <w:tc>
          <w:tcPr>
            <w:tcW w:w="90" w:type="dxa"/>
            <w:tcBorders/>
            <w:tcMar>
              <w:bottom w:w="0" w:type="dxa"/>
            </w:tcMar>
            <w:vAlign w:val="center"/>
          </w:tcPr>
          <w:p>
            <w:pPr>
              <w:pStyle w:val="TableContents"/>
              <w:bidi w:val="0"/>
              <w:spacing w:before="0" w:after="283"/>
              <w:jc w:val="left"/>
              <w:rPr/>
            </w:pPr>
            <w:r>
              <w:rPr/>
              <w:t> </w:t>
            </w:r>
          </w:p>
        </w:tc>
        <w:tc>
          <w:tcPr>
            <w:tcW w:w="3832" w:type="dxa"/>
            <w:tcBorders/>
            <w:tcMar>
              <w:bottom w:w="0" w:type="dxa"/>
            </w:tcMar>
            <w:vAlign w:val="center"/>
          </w:tcPr>
          <w:p>
            <w:pPr>
              <w:pStyle w:val="TableContents"/>
              <w:bidi w:val="0"/>
              <w:spacing w:before="0" w:after="283"/>
              <w:jc w:val="both"/>
              <w:rPr>
                <w:sz w:val="20"/>
              </w:rPr>
            </w:pPr>
            <w:r>
              <w:rPr>
                <w:sz w:val="20"/>
              </w:rPr>
              <w:t>To meet high transmission rate up to 10 Gigabit Ethernet standard with low latency time in order to let our customer product transfer and receive picture, voice, data signal in fast speed and high accuracy</w:t>
            </w:r>
          </w:p>
        </w:tc>
      </w:tr>
      <w:tr>
        <w:trPr/>
        <w:tc>
          <w:tcPr>
            <w:tcW w:w="279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832" w:type="dxa"/>
            <w:tcBorders/>
            <w:tcMar>
              <w:bottom w:w="0" w:type="dxa"/>
            </w:tcMar>
            <w:vAlign w:val="center"/>
          </w:tcPr>
          <w:p>
            <w:pPr>
              <w:pStyle w:val="TableContents"/>
              <w:bidi w:val="0"/>
              <w:spacing w:before="0" w:after="283"/>
              <w:jc w:val="both"/>
              <w:rPr/>
            </w:pPr>
            <w:r>
              <w:rPr/>
              <w:t> </w:t>
            </w:r>
          </w:p>
        </w:tc>
      </w:tr>
      <w:tr>
        <w:trPr/>
        <w:tc>
          <w:tcPr>
            <w:tcW w:w="279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Robotic cable and wire harness</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419225" cy="1571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19225" cy="1571625"/>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pPr>
            <w:r>
              <w:rPr/>
              <w:t> </w:t>
            </w:r>
          </w:p>
        </w:tc>
        <w:tc>
          <w:tcPr>
            <w:tcW w:w="1451" w:type="dxa"/>
            <w:tcBorders/>
            <w:tcMar>
              <w:bottom w:w="0" w:type="dxa"/>
            </w:tcMar>
            <w:vAlign w:val="center"/>
          </w:tcPr>
          <w:p>
            <w:pPr>
              <w:pStyle w:val="TableContents"/>
              <w:bidi w:val="0"/>
              <w:spacing w:before="0" w:after="283"/>
              <w:jc w:val="both"/>
              <w:rPr>
                <w:sz w:val="20"/>
              </w:rPr>
            </w:pPr>
            <w:r>
              <w:rPr>
                <w:sz w:val="20"/>
              </w:rPr>
              <w:t>Robotic</w:t>
            </w:r>
          </w:p>
        </w:tc>
        <w:tc>
          <w:tcPr>
            <w:tcW w:w="90" w:type="dxa"/>
            <w:tcBorders/>
            <w:tcMar>
              <w:bottom w:w="0" w:type="dxa"/>
            </w:tcMar>
            <w:vAlign w:val="center"/>
          </w:tcPr>
          <w:p>
            <w:pPr>
              <w:pStyle w:val="TableContents"/>
              <w:bidi w:val="0"/>
              <w:spacing w:before="0" w:after="283"/>
              <w:jc w:val="left"/>
              <w:rPr/>
            </w:pPr>
            <w:r>
              <w:rPr/>
              <w:t> </w:t>
            </w:r>
          </w:p>
        </w:tc>
        <w:tc>
          <w:tcPr>
            <w:tcW w:w="1855" w:type="dxa"/>
            <w:tcBorders/>
            <w:tcMar>
              <w:bottom w:w="0" w:type="dxa"/>
            </w:tcMar>
            <w:vAlign w:val="center"/>
          </w:tcPr>
          <w:p>
            <w:pPr>
              <w:pStyle w:val="TableContents"/>
              <w:bidi w:val="0"/>
              <w:spacing w:before="0" w:after="283"/>
              <w:jc w:val="both"/>
              <w:rPr>
                <w:sz w:val="20"/>
              </w:rPr>
            </w:pPr>
            <w:r>
              <w:rPr>
                <w:sz w:val="20"/>
              </w:rPr>
              <w:t>Robotic arm</w:t>
            </w:r>
          </w:p>
        </w:tc>
        <w:tc>
          <w:tcPr>
            <w:tcW w:w="90" w:type="dxa"/>
            <w:tcBorders/>
            <w:tcMar>
              <w:bottom w:w="0" w:type="dxa"/>
            </w:tcMar>
            <w:vAlign w:val="center"/>
          </w:tcPr>
          <w:p>
            <w:pPr>
              <w:pStyle w:val="TableContents"/>
              <w:bidi w:val="0"/>
              <w:spacing w:before="0" w:after="283"/>
              <w:jc w:val="left"/>
              <w:rPr/>
            </w:pPr>
            <w:r>
              <w:rPr/>
              <w:t> </w:t>
            </w:r>
          </w:p>
        </w:tc>
        <w:tc>
          <w:tcPr>
            <w:tcW w:w="3832" w:type="dxa"/>
            <w:tcBorders/>
            <w:tcMar>
              <w:bottom w:w="0" w:type="dxa"/>
            </w:tcMar>
            <w:vAlign w:val="center"/>
          </w:tcPr>
          <w:p>
            <w:pPr>
              <w:pStyle w:val="TableContents"/>
              <w:bidi w:val="0"/>
              <w:spacing w:before="0" w:after="283"/>
              <w:jc w:val="both"/>
              <w:rPr>
                <w:sz w:val="20"/>
              </w:rPr>
            </w:pPr>
            <w:r>
              <w:rPr>
                <w:sz w:val="20"/>
              </w:rPr>
              <w:t>High AC voltage (600V, 1,000V and 2,000V), and high flexibility (our cables and wire harnesses can achieve the bending test at 180 degrees for 10,000 times or more.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manufacture and sell a broad portfolio of interconnect products to customers in various industries in more than 25 countries throughout Asia, Europe and the Americas. Many of our customers are global name-brand manufacturers, such as Universal Robots, Linak A/S, Flextronics, Maersk, Danfoss, Bitzer, Fideltronic and Vtech, and our relationships with many of our customers date back many years. We believe that our diversified customer base helps reduce our exposure to particular industries or geographic regions, which may lower the risk of market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tabular illustration of our sales with respect to our geographic coverage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6"/>
        <w:gridCol w:w="90"/>
        <w:gridCol w:w="99"/>
        <w:gridCol w:w="1244"/>
        <w:gridCol w:w="90"/>
        <w:gridCol w:w="90"/>
        <w:gridCol w:w="136"/>
        <w:gridCol w:w="903"/>
        <w:gridCol w:w="290"/>
        <w:gridCol w:w="90"/>
        <w:gridCol w:w="99"/>
        <w:gridCol w:w="1244"/>
        <w:gridCol w:w="90"/>
        <w:gridCol w:w="90"/>
        <w:gridCol w:w="133"/>
        <w:gridCol w:w="883"/>
        <w:gridCol w:w="290"/>
        <w:gridCol w:w="90"/>
        <w:gridCol w:w="99"/>
        <w:gridCol w:w="1244"/>
        <w:gridCol w:w="90"/>
        <w:gridCol w:w="90"/>
        <w:gridCol w:w="133"/>
        <w:gridCol w:w="883"/>
        <w:gridCol w:w="339"/>
      </w:tblGrid>
      <w:tr>
        <w:trPr/>
        <w:tc>
          <w:tcPr>
            <w:tcW w:w="137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March 31, 2026</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March 31, 2025</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  </w:t>
              <w:br/>
              <w:t>March 31, 2024</w:t>
            </w:r>
          </w:p>
        </w:tc>
        <w:tc>
          <w:tcPr>
            <w:tcW w:w="339" w:type="dxa"/>
            <w:tcBorders/>
            <w:vAlign w:val="center"/>
          </w:tcPr>
          <w:p>
            <w:pPr>
              <w:pStyle w:val="TableContents"/>
              <w:bidi w:val="0"/>
              <w:spacing w:before="0" w:after="283"/>
              <w:jc w:val="left"/>
              <w:rPr/>
            </w:pPr>
            <w:r>
              <w:rPr/>
              <w:t> </w:t>
            </w:r>
          </w:p>
        </w:tc>
      </w:tr>
      <w:tr>
        <w:trPr/>
        <w:tc>
          <w:tcPr>
            <w:tcW w:w="137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Revenue</w:t>
              <w:b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Total </w:t>
              <w:br/>
              <w:t>Revenue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Revenue</w:t>
              <w:b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Revenue</w:t>
              <w:b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339" w:type="dxa"/>
            <w:tcBorders/>
            <w:vAlign w:val="center"/>
          </w:tcPr>
          <w:p>
            <w:pPr>
              <w:pStyle w:val="TableContents"/>
              <w:bidi w:val="0"/>
              <w:spacing w:before="0" w:after="283"/>
              <w:jc w:val="left"/>
              <w:rPr/>
            </w:pPr>
            <w:r>
              <w:rPr/>
              <w:t> </w:t>
            </w:r>
          </w:p>
        </w:tc>
      </w:tr>
      <w:tr>
        <w:trPr/>
        <w:tc>
          <w:tcPr>
            <w:tcW w:w="1376" w:type="dxa"/>
            <w:tcBorders/>
            <w:shd w:fill="CCEEFF" w:val="clear"/>
            <w:vAlign w:val="center"/>
          </w:tcPr>
          <w:p>
            <w:pPr>
              <w:pStyle w:val="TableContents"/>
              <w:bidi w:val="0"/>
              <w:spacing w:before="0" w:after="283"/>
              <w:jc w:val="left"/>
              <w:rPr/>
            </w:pPr>
            <w:r>
              <w:rPr/>
              <w:t>Northern Europe</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7,909,928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45.7</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8,547,915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48.4</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6,402,388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43.4</w:t>
            </w:r>
          </w:p>
        </w:tc>
        <w:tc>
          <w:tcPr>
            <w:tcW w:w="339" w:type="dxa"/>
            <w:tcBorders/>
            <w:shd w:fill="CCEEFF" w:val="clear"/>
            <w:vAlign w:val="center"/>
          </w:tcPr>
          <w:p>
            <w:pPr>
              <w:pStyle w:val="TableContents"/>
              <w:bidi w:val="0"/>
              <w:spacing w:before="0" w:after="283"/>
              <w:jc w:val="left"/>
              <w:rPr/>
            </w:pPr>
            <w:r>
              <w:rPr/>
              <w:t>%</w:t>
            </w:r>
          </w:p>
        </w:tc>
      </w:tr>
      <w:tr>
        <w:trPr/>
        <w:tc>
          <w:tcPr>
            <w:tcW w:w="1376" w:type="dxa"/>
            <w:tcBorders/>
            <w:vAlign w:val="center"/>
          </w:tcPr>
          <w:p>
            <w:pPr>
              <w:pStyle w:val="TableContents"/>
              <w:bidi w:val="0"/>
              <w:spacing w:before="0" w:after="283"/>
              <w:jc w:val="left"/>
              <w:rPr/>
            </w:pPr>
            <w:r>
              <w:rPr/>
              <w:t>Hong Kong</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1,149,748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6.6</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1,670,446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9.5</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1,895,230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12.9</w:t>
            </w:r>
          </w:p>
        </w:tc>
        <w:tc>
          <w:tcPr>
            <w:tcW w:w="339" w:type="dxa"/>
            <w:tcBorders/>
            <w:vAlign w:val="center"/>
          </w:tcPr>
          <w:p>
            <w:pPr>
              <w:pStyle w:val="TableContents"/>
              <w:bidi w:val="0"/>
              <w:spacing w:before="0" w:after="283"/>
              <w:jc w:val="left"/>
              <w:rPr/>
            </w:pPr>
            <w:r>
              <w:rPr/>
              <w:t>%</w:t>
            </w:r>
          </w:p>
        </w:tc>
      </w:tr>
      <w:tr>
        <w:trPr/>
        <w:tc>
          <w:tcPr>
            <w:tcW w:w="1376" w:type="dxa"/>
            <w:tcBorders/>
            <w:shd w:fill="CCEEFF" w:val="clear"/>
            <w:vAlign w:val="center"/>
          </w:tcPr>
          <w:p>
            <w:pPr>
              <w:pStyle w:val="TableContents"/>
              <w:bidi w:val="0"/>
              <w:spacing w:before="0" w:after="283"/>
              <w:jc w:val="left"/>
              <w:rPr/>
            </w:pPr>
            <w:r>
              <w:rPr/>
              <w:t>Mainland China</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2,288,888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13.2</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1,636,832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9.3</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1,372,966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9.3</w:t>
            </w:r>
          </w:p>
        </w:tc>
        <w:tc>
          <w:tcPr>
            <w:tcW w:w="339" w:type="dxa"/>
            <w:tcBorders/>
            <w:shd w:fill="CCEEFF" w:val="clear"/>
            <w:vAlign w:val="center"/>
          </w:tcPr>
          <w:p>
            <w:pPr>
              <w:pStyle w:val="TableContents"/>
              <w:bidi w:val="0"/>
              <w:spacing w:before="0" w:after="283"/>
              <w:jc w:val="left"/>
              <w:rPr/>
            </w:pPr>
            <w:r>
              <w:rPr/>
              <w:t>%</w:t>
            </w:r>
          </w:p>
        </w:tc>
      </w:tr>
      <w:tr>
        <w:trPr/>
        <w:tc>
          <w:tcPr>
            <w:tcW w:w="1376" w:type="dxa"/>
            <w:tcBorders/>
            <w:vAlign w:val="center"/>
          </w:tcPr>
          <w:p>
            <w:pPr>
              <w:pStyle w:val="TableContents"/>
              <w:bidi w:val="0"/>
              <w:spacing w:before="0" w:after="283"/>
              <w:jc w:val="left"/>
              <w:rPr/>
            </w:pPr>
            <w:r>
              <w:rPr/>
              <w:t>North America</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1,149,147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6.6</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1,299,799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1,377,541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9.3</w:t>
            </w:r>
          </w:p>
        </w:tc>
        <w:tc>
          <w:tcPr>
            <w:tcW w:w="339" w:type="dxa"/>
            <w:tcBorders/>
            <w:vAlign w:val="center"/>
          </w:tcPr>
          <w:p>
            <w:pPr>
              <w:pStyle w:val="TableContents"/>
              <w:bidi w:val="0"/>
              <w:spacing w:before="0" w:after="283"/>
              <w:jc w:val="left"/>
              <w:rPr/>
            </w:pPr>
            <w:r>
              <w:rPr/>
              <w:t>%</w:t>
            </w:r>
          </w:p>
        </w:tc>
      </w:tr>
      <w:tr>
        <w:trPr/>
        <w:tc>
          <w:tcPr>
            <w:tcW w:w="1376" w:type="dxa"/>
            <w:tcBorders/>
            <w:shd w:fill="CCEEFF" w:val="clear"/>
            <w:vAlign w:val="center"/>
          </w:tcPr>
          <w:p>
            <w:pPr>
              <w:pStyle w:val="TableContents"/>
              <w:bidi w:val="0"/>
              <w:spacing w:before="0" w:after="283"/>
              <w:jc w:val="left"/>
              <w:rPr/>
            </w:pPr>
            <w:r>
              <w:rPr/>
              <w:t>Southern Europe</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841,646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4.9</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1,203,407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6.8</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900,786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6.1</w:t>
            </w:r>
          </w:p>
        </w:tc>
        <w:tc>
          <w:tcPr>
            <w:tcW w:w="339" w:type="dxa"/>
            <w:tcBorders/>
            <w:shd w:fill="CCEEFF" w:val="clear"/>
            <w:vAlign w:val="center"/>
          </w:tcPr>
          <w:p>
            <w:pPr>
              <w:pStyle w:val="TableContents"/>
              <w:bidi w:val="0"/>
              <w:spacing w:before="0" w:after="283"/>
              <w:jc w:val="left"/>
              <w:rPr/>
            </w:pPr>
            <w:r>
              <w:rPr/>
              <w:t>%</w:t>
            </w:r>
          </w:p>
        </w:tc>
      </w:tr>
      <w:tr>
        <w:trPr/>
        <w:tc>
          <w:tcPr>
            <w:tcW w:w="1376" w:type="dxa"/>
            <w:tcBorders/>
            <w:vAlign w:val="center"/>
          </w:tcPr>
          <w:p>
            <w:pPr>
              <w:pStyle w:val="TableContents"/>
              <w:bidi w:val="0"/>
              <w:spacing w:before="0" w:after="283"/>
              <w:jc w:val="left"/>
              <w:rPr/>
            </w:pPr>
            <w:r>
              <w:rPr/>
              <w:t>Eastern Europe</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1,133,401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6.6</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893,500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5.1</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825,249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5.6</w:t>
            </w:r>
          </w:p>
        </w:tc>
        <w:tc>
          <w:tcPr>
            <w:tcW w:w="339" w:type="dxa"/>
            <w:tcBorders/>
            <w:vAlign w:val="center"/>
          </w:tcPr>
          <w:p>
            <w:pPr>
              <w:pStyle w:val="TableContents"/>
              <w:bidi w:val="0"/>
              <w:spacing w:before="0" w:after="283"/>
              <w:jc w:val="left"/>
              <w:rPr/>
            </w:pPr>
            <w:r>
              <w:rPr/>
              <w:t>%</w:t>
            </w:r>
          </w:p>
        </w:tc>
      </w:tr>
      <w:tr>
        <w:trPr/>
        <w:tc>
          <w:tcPr>
            <w:tcW w:w="1376" w:type="dxa"/>
            <w:tcBorders/>
            <w:shd w:fill="CCEEFF" w:val="clear"/>
            <w:vAlign w:val="center"/>
          </w:tcPr>
          <w:p>
            <w:pPr>
              <w:pStyle w:val="TableContents"/>
              <w:bidi w:val="0"/>
              <w:spacing w:before="0" w:after="283"/>
              <w:jc w:val="left"/>
              <w:rPr/>
            </w:pPr>
            <w:r>
              <w:rPr/>
              <w:t>ASEAN</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2,134,711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12.4</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2,025,688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11.5</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1,570,519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10.6</w:t>
            </w:r>
          </w:p>
        </w:tc>
        <w:tc>
          <w:tcPr>
            <w:tcW w:w="339" w:type="dxa"/>
            <w:tcBorders/>
            <w:shd w:fill="CCEEFF" w:val="clear"/>
            <w:vAlign w:val="center"/>
          </w:tcPr>
          <w:p>
            <w:pPr>
              <w:pStyle w:val="TableContents"/>
              <w:bidi w:val="0"/>
              <w:spacing w:before="0" w:after="283"/>
              <w:jc w:val="left"/>
              <w:rPr/>
            </w:pPr>
            <w:r>
              <w:rPr/>
              <w:t>%</w:t>
            </w:r>
          </w:p>
        </w:tc>
      </w:tr>
      <w:tr>
        <w:trPr/>
        <w:tc>
          <w:tcPr>
            <w:tcW w:w="1376" w:type="dxa"/>
            <w:tcBorders/>
            <w:vAlign w:val="center"/>
          </w:tcPr>
          <w:p>
            <w:pPr>
              <w:pStyle w:val="TableContents"/>
              <w:bidi w:val="0"/>
              <w:spacing w:before="0" w:after="283"/>
              <w:jc w:val="left"/>
              <w:rPr/>
            </w:pPr>
            <w:r>
              <w:rPr/>
              <w:t>Western Europe</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687,281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4.0</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347,082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2.0</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395,364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2.8</w:t>
            </w:r>
          </w:p>
        </w:tc>
        <w:tc>
          <w:tcPr>
            <w:tcW w:w="339" w:type="dxa"/>
            <w:tcBorders/>
            <w:vAlign w:val="center"/>
          </w:tcPr>
          <w:p>
            <w:pPr>
              <w:pStyle w:val="TableContents"/>
              <w:bidi w:val="0"/>
              <w:spacing w:before="0" w:after="283"/>
              <w:jc w:val="left"/>
              <w:rPr/>
            </w:pPr>
            <w:r>
              <w:rPr/>
              <w:t>%</w:t>
            </w:r>
          </w:p>
        </w:tc>
      </w:tr>
      <w:tr>
        <w:trPr/>
        <w:tc>
          <w:tcPr>
            <w:tcW w:w="1376" w:type="dxa"/>
            <w:tcBorders/>
            <w:shd w:fill="CCEEFF" w:val="clear"/>
            <w:vAlign w:val="center"/>
          </w:tcPr>
          <w:p>
            <w:pPr>
              <w:pStyle w:val="TableContents"/>
              <w:bidi w:val="0"/>
              <w:spacing w:before="0" w:after="283"/>
              <w:jc w:val="left"/>
              <w:rPr/>
            </w:pPr>
            <w:r>
              <w:rPr/>
              <w:t>Other Asia countries</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3,282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4,368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0.0</w:t>
            </w:r>
          </w:p>
        </w:tc>
        <w:tc>
          <w:tcPr>
            <w:tcW w:w="339" w:type="dxa"/>
            <w:tcBorders/>
            <w:shd w:fill="CCEEFF" w:val="clear"/>
            <w:vAlign w:val="center"/>
          </w:tcPr>
          <w:p>
            <w:pPr>
              <w:pStyle w:val="TableContents"/>
              <w:bidi w:val="0"/>
              <w:spacing w:before="0" w:after="283"/>
              <w:jc w:val="left"/>
              <w:rPr/>
            </w:pPr>
            <w:r>
              <w:rPr/>
              <w:t>%</w:t>
            </w:r>
          </w:p>
        </w:tc>
      </w:tr>
      <w:tr>
        <w:trPr/>
        <w:tc>
          <w:tcPr>
            <w:tcW w:w="1376" w:type="dxa"/>
            <w:tcBorders/>
            <w:vAlign w:val="center"/>
          </w:tcPr>
          <w:p>
            <w:pPr>
              <w:pStyle w:val="TableContents"/>
              <w:bidi w:val="0"/>
              <w:spacing w:before="0" w:after="283"/>
              <w:jc w:val="left"/>
              <w:rPr/>
            </w:pPr>
            <w:r>
              <w:rPr/>
              <w:t>Southern America</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7,994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3,487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4,140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0.0</w:t>
            </w:r>
          </w:p>
        </w:tc>
        <w:tc>
          <w:tcPr>
            <w:tcW w:w="339" w:type="dxa"/>
            <w:tcBorders/>
            <w:vAlign w:val="center"/>
          </w:tcPr>
          <w:p>
            <w:pPr>
              <w:pStyle w:val="TableContents"/>
              <w:bidi w:val="0"/>
              <w:spacing w:before="0" w:after="283"/>
              <w:jc w:val="left"/>
              <w:rPr/>
            </w:pPr>
            <w:r>
              <w:rPr/>
              <w:t>%</w:t>
            </w:r>
          </w:p>
        </w:tc>
      </w:tr>
      <w:tr>
        <w:trPr/>
        <w:tc>
          <w:tcPr>
            <w:tcW w:w="1376" w:type="dxa"/>
            <w:tcBorders/>
            <w:shd w:fill="CCEEFF" w:val="clear"/>
            <w:vAlign w:val="center"/>
          </w:tcPr>
          <w:p>
            <w:pPr>
              <w:pStyle w:val="TableContents"/>
              <w:bidi w:val="0"/>
              <w:spacing w:before="0" w:after="283"/>
              <w:jc w:val="left"/>
              <w:rPr/>
            </w:pPr>
            <w:r>
              <w:rPr/>
              <w:t>Australia</w:t>
            </w:r>
          </w:p>
        </w:tc>
        <w:tc>
          <w:tcPr>
            <w:tcW w:w="9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39" w:type="dxa"/>
            <w:tcBorders/>
            <w:shd w:fill="CCEEFF" w:val="clear"/>
            <w:vAlign w:val="center"/>
          </w:tcPr>
          <w:p>
            <w:pPr>
              <w:pStyle w:val="TableContents"/>
              <w:bidi w:val="0"/>
              <w:spacing w:before="0" w:after="283"/>
              <w:jc w:val="left"/>
              <w:rPr/>
            </w:pPr>
            <w:r>
              <w:rPr/>
              <w:t>%</w:t>
            </w:r>
          </w:p>
        </w:tc>
      </w:tr>
      <w:tr>
        <w:trPr/>
        <w:tc>
          <w:tcPr>
            <w:tcW w:w="1376" w:type="dxa"/>
            <w:tcBorders/>
            <w:vAlign w:val="center"/>
          </w:tcPr>
          <w:p>
            <w:pPr>
              <w:pStyle w:val="TableContents"/>
              <w:bidi w:val="0"/>
              <w:spacing w:before="0" w:after="283"/>
              <w:jc w:val="both"/>
              <w:rPr>
                <w:b/>
              </w:rPr>
            </w:pPr>
            <w:r>
              <w:rPr>
                <w:b/>
              </w:rPr>
              <w:t>Total</w:t>
            </w:r>
          </w:p>
        </w:tc>
        <w:tc>
          <w:tcPr>
            <w:tcW w:w="90"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4" w:type="dxa"/>
            <w:tcBorders>
              <w:bottom w:val="double" w:sz="10" w:space="0" w:color="000000"/>
            </w:tcBorders>
            <w:tcMar>
              <w:bottom w:w="28" w:type="dxa"/>
            </w:tcMar>
            <w:vAlign w:val="center"/>
          </w:tcPr>
          <w:p>
            <w:pPr>
              <w:pStyle w:val="TableContents"/>
              <w:bidi w:val="0"/>
              <w:spacing w:before="0" w:after="283"/>
              <w:jc w:val="right"/>
              <w:rPr>
                <w:b/>
              </w:rPr>
            </w:pPr>
            <w:r>
              <w:rPr>
                <w:b/>
              </w:rPr>
              <w:t>17,302,744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bottom w:val="double" w:sz="10" w:space="0" w:color="000000"/>
            </w:tcBorders>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4" w:type="dxa"/>
            <w:tcBorders>
              <w:bottom w:val="double" w:sz="10" w:space="0" w:color="000000"/>
            </w:tcBorders>
            <w:tcMar>
              <w:bottom w:w="28" w:type="dxa"/>
            </w:tcMar>
            <w:vAlign w:val="center"/>
          </w:tcPr>
          <w:p>
            <w:pPr>
              <w:pStyle w:val="TableContents"/>
              <w:bidi w:val="0"/>
              <w:spacing w:before="0" w:after="283"/>
              <w:jc w:val="right"/>
              <w:rPr>
                <w:b/>
              </w:rPr>
            </w:pPr>
            <w:r>
              <w:rPr>
                <w:b/>
              </w:rPr>
              <w:t>17,631,489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883"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4" w:type="dxa"/>
            <w:tcBorders>
              <w:bottom w:val="double" w:sz="10" w:space="0" w:color="000000"/>
            </w:tcBorders>
            <w:tcMar>
              <w:bottom w:w="28" w:type="dxa"/>
            </w:tcMar>
            <w:vAlign w:val="center"/>
          </w:tcPr>
          <w:p>
            <w:pPr>
              <w:pStyle w:val="TableContents"/>
              <w:bidi w:val="0"/>
              <w:spacing w:before="0" w:after="283"/>
              <w:jc w:val="right"/>
              <w:rPr>
                <w:b/>
              </w:rPr>
            </w:pPr>
            <w:r>
              <w:rPr>
                <w:b/>
              </w:rPr>
              <w:t>14,748,551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883"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339"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than 20 years, we have strived to offer quality products at competitive prices. Our customer-oriented approach has helped us establish close working relationships with many of our customers. These relationships allow us to better anticipate and respond to customer needs when designing new products and new technical solutions. By working with customers in developing new products and technologies, we are able to identify and act on trends across our portfolio of products. In addition, we continuously invest in service, procurement and manufacturing improvements designed to increase product quality and performance and lower production lead-time and cost. For example, in 2016, in order to better service our growing customer base in Europe, we established CCSC Interconnect NL, our European logistic and service hub. Additionally, in January 2026, we commenced construction of a new European supply chain management center in Merosina, Serbia. This center is expected to serve as the headquarters of our supply chain operations in Europe to support our operations across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include both manufacturing companies and electronic manufacturing services (“EMS”) companies, who procure and assemble products on behalf of manufacturing companies. Additionally, a tiny fraction, or less than 1% of our sales for the fiscal years ended March 31, 2026, 2025, and 2024, was attributed to dealers who resell our products to manufacturing companies. For the fiscal year ended March 31, 2026, aggregate sales to two customers accounted for approximately 16.4% and 10.1% each of our total sales, respectively. CCSC Interconnect HK entered into framework purchase agreement with each of the significant customers, whereby CCSC Interconnect HK provided the customers with their requested products based on separate purchase orders. The purchase agreements are valid for an indeterminate term until terminated by either party. For the fiscal year ended March 31, 2025, aggregate sales to three customers accounted for approximately 14.5%, 11.9%, and 10.4% of our total sales. For the fiscal year ended March 31, 2024, aggregate sales to two customers accounted for approximately 17.4% and 12.7% each of our total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manufacture and assemble our products at our Dongguan factory located in Guangdong province, China. Currently, almost all of our products are manufactured in-house, while a minimal quantity, or less than 1% of our total output, is outsourced to third-party contract manufacturers located in Guangdong, China. We impose stringent standards on quality control, technical and managerial capabilities of our subcontractors to ensure the quality of the final products. The Company’s manufacturing process is vertically-integrated from the initial design stage through final production, and employs the following manufacturing processes: molding, wire cutting, stripping/crimping/termination, assembly (including surface mounting), and soldering.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completed product is tested for functionality with the aid of a test board, such as programmable or universal cable/harness tester, which is pre-programmed with the required electrical characteristics for the specific product. The completed products can be plugged into the test board and tested individually or in multiple numbers. We also test each completed product for resistance and insulation use testing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believes that maintaining objectively verifiable quality standards fosters consumer confidence and loyalty. In a continuous effort to meet various international production and quality manufacturing standards, CCSC Interconnect DG has been certified under the requirements of the ISO, specifically to the ISO 9001, 14001, 45001, and 13485 standards, as well as the IATF 16949. These qualifications demonstrate that high quality manufacturing standards are consistently applied to our production and management processes, and help us gain access to international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 and R&amp;D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engineering team, led directly by our Chief Executive Officer (“CEO”) and Chief Operation Officer (“COO”), has built a solid reputation with our customers by partnering with them every step of the way from initial concept and design to prototype and final production. As of the date of this annual report, our engineering department has a total of 18 employees with extensive experience in mechanical and electronic engineering, as well as product design and development. Our engineering team is responsible for research and development of new and improved products and processes, and generally implements its product development strategy through collaborative initiatives with customers, which often result in our obtaining approved vendor status for the customers’ new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launch of a new product that requires our customized interconnect products, our customer generally provides us with an initial concept or blueprint and we will provide the customer with a product development proposal in one to two months. After the customers accept our proposal, we will start our design and development process including tooling, sampling and testing process. The entire process of our design and development typically takes approximately nine to twelve months, during which time our engineering team is responsible for the following:</w:t>
      </w:r>
    </w:p>
    <w:p>
      <w:pPr>
        <w:pStyle w:val="TextBody"/>
        <w:bidi w:val="0"/>
        <w:spacing w:before="0" w:after="0"/>
        <w:ind w:left="96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68"/>
        <w:gridCol w:w="200"/>
        <w:gridCol w:w="59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sz w:val="20"/>
              </w:rPr>
            </w:pPr>
            <w:r>
              <w:rPr>
                <w:sz w:val="20"/>
              </w:rPr>
              <w:t>performing feasibility studies with budgetary proposals for new projects;</w:t>
            </w:r>
          </w:p>
        </w:tc>
      </w:tr>
    </w:tbl>
    <w:p>
      <w:pPr>
        <w:pStyle w:val="TextBody"/>
        <w:bidi w:val="0"/>
        <w:spacing w:before="0" w:after="0"/>
        <w:ind w:left="960" w:right="0" w:hanging="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68"/>
        <w:gridCol w:w="200"/>
        <w:gridCol w:w="94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sz w:val="20"/>
              </w:rPr>
            </w:pPr>
            <w:r>
              <w:rPr>
                <w:sz w:val="20"/>
              </w:rPr>
              <w:t>creating functional and structural design concepts based on specifications and technical requirements of customers;</w:t>
            </w:r>
          </w:p>
        </w:tc>
      </w:tr>
    </w:tbl>
    <w:p>
      <w:pPr>
        <w:pStyle w:val="TextBody"/>
        <w:bidi w:val="0"/>
        <w:spacing w:before="0" w:after="0"/>
        <w:ind w:left="960" w:right="0" w:hanging="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68"/>
        <w:gridCol w:w="200"/>
        <w:gridCol w:w="73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sz w:val="20"/>
              </w:rPr>
            </w:pPr>
            <w:r>
              <w:rPr>
                <w:sz w:val="20"/>
              </w:rPr>
              <w:t>preparing proposals and related presentations to be reviewed and approved by customers;</w:t>
            </w:r>
          </w:p>
        </w:tc>
      </w:tr>
    </w:tbl>
    <w:p>
      <w:pPr>
        <w:pStyle w:val="TextBody"/>
        <w:bidi w:val="0"/>
        <w:spacing w:before="0" w:after="0"/>
        <w:ind w:left="960" w:right="0" w:hanging="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68"/>
        <w:gridCol w:w="200"/>
        <w:gridCol w:w="71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sz w:val="20"/>
              </w:rPr>
            </w:pPr>
            <w:r>
              <w:rPr>
                <w:sz w:val="20"/>
              </w:rPr>
              <w:t>verifying design concepts and creating prototypes, and refining prototypes if required;</w:t>
            </w:r>
          </w:p>
        </w:tc>
      </w:tr>
    </w:tbl>
    <w:p>
      <w:pPr>
        <w:pStyle w:val="TextBody"/>
        <w:bidi w:val="0"/>
        <w:spacing w:before="0" w:after="0"/>
        <w:ind w:left="960" w:right="0" w:hanging="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68"/>
        <w:gridCol w:w="200"/>
        <w:gridCol w:w="65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sz w:val="20"/>
              </w:rPr>
            </w:pPr>
            <w:r>
              <w:rPr>
                <w:sz w:val="20"/>
              </w:rPr>
              <w:t>defining project milestones and overseeing implementation of each project; and</w:t>
            </w:r>
          </w:p>
        </w:tc>
      </w:tr>
    </w:tbl>
    <w:p>
      <w:pPr>
        <w:pStyle w:val="TextBody"/>
        <w:bidi w:val="0"/>
        <w:spacing w:before="0" w:after="0"/>
        <w:ind w:left="960" w:right="0" w:hanging="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68"/>
        <w:gridCol w:w="200"/>
        <w:gridCol w:w="99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sz w:val="20"/>
              </w:rPr>
            </w:pPr>
            <w:r>
              <w:rPr>
                <w:sz w:val="20"/>
              </w:rPr>
              <w:t>performing engineering validation tests, design validation tests, and production validation tests prior to final production.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Raw Materials and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procure the following components for the manufacturing of our products: (i) cable and plastics, including single wire, cable, insulation tube, standard connector, and plastic fabricated parts; (ii) metal parts, including metal shell, metal terminal, and metal fabricated parts; and (iii) electronic parts, including printed circuit board, LED, resistor, capacitor, transistor, inductor, thermistor, potentiometer, ferrite core, switch, and semiconductor. None of these components require scarce raw materials and, in general, they are readily available from a wide range of local and national sources. Most of our components do not require advanced or proprietary technology that would make them difficult to source, although certain customers have required us to purchase specific components from their authorized vendors. Although we do not directly procure raw materials, our business depends on a stable supply of raw materials such as copper, zinc, and aluminum that are required for the manufacture of our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components are mainly sourced from suppliers located in the PRC (including mainland China, Hong Kong and Taiwan), and Europe. We select our suppliers based on many criteria, including, but not limited to: quality, production site, production process, delivery cycle, and price. As we have a variety of options for supplies and the technical requirements for preparing most of our principal supplies are relatively low, we do not anticipate difficulties in obtaining supplies to produce our products. Accordingly, our agreements with our suppliers allow us to purchase our raw materials and components on a per purchase order basis. We have an enterprise resource planning (“ERP”) system that monitors and controls the stock level of components based on customer purchase orders and customer forecasts for future orders. The prices of these components are nevertheless subject to market forces largely beyond our control, including energy costs, market demand, economic trends, and freight costs, and most importantly, the price of raw materials. The prices of these components have fluctuated in the past and may fluctuate significantly in the future, which could materially and adversely impact our business operations. For details, see “</w:t>
      </w:r>
      <w:r>
        <w:rPr>
          <w:rFonts w:ascii="Times New Roman;Times;Serif" w:hAnsi="Times New Roman;Times;Serif"/>
          <w:b w:val="false"/>
          <w:i/>
          <w:caps w:val="false"/>
          <w:smallCaps w:val="false"/>
          <w:sz w:val="20"/>
        </w:rPr>
        <w:t>Item 3. Key Information—D. Risk Factors—Risks Related to Our Business—Increases in the price of raw materials could impact our ability to sustain and grow earnings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quality control system starts from procurement. Before entering into our production flow, the raw materials and components must be certified for quality. We also perform regular factory audits of our suppliers, quality reexaminations and unannounced inspections on raw materials to be used in the mass production flow. We review the performance of our suppliers based on the defective percentage of their supplies, and adjust amounts procured from them accordingly. Our supplier agreements usually contain a quality control clause, under which we may seek remedies against our suppliers, such as damages and rectification, in the event the supplies fall below the quality standards or exceed the minimum defective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 components constituted approximately 69.5%, 67.8%, and 67.8% of the total cost of production for the fiscal years ended March 31, 2026,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2026 and 2025, there was no supplier who accounted for more than 10% of the total purchases. For the fiscal year ended March 31, 2024, there was one supplier who accounted for 12.1% of the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Production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one manufacturing plant in Dongguan, Guangdong province, China, with 189,983 square feet in the aggregate. We have leased the plant since 1999 and renewed the term every three years; the current term is from September 2022 to August 2027. We own all of the equipment and machinery, such as computerized vertical injection machine, low pressure injection machine, automatic cable cutting and stripping machine, automatic wire printing machine, automatic crimping machine, automatic soldering machine, automatic sealing machine, laser welding machine, laser engraving machine, automatic wire twisting machine, automatic cable winding machine, automatic shrink film packing machine, and PCBA de-panel machine at our factory, which were valued at approximately $1.98 million as of March 31, 2026, net of depreciation costs. We focus on best practices in quality control and employee safety. For quality control and testing, we have fatigue testing machines, automatic wire sequence tester, automatic optical inspection machine, automatic cable flexing machine, high-low temperature chamber, salt spray tester, UV accelerated weathering tester, tensile tester, pull tester, connector insertion force and reliability tester, gold-plating thickness tester, spectrometer, cable functional and continuity tester, hi-pot tester, spectrophotometer, LED color spectrum tester, IPX6 water jetting test chamber, and high-resolution electronic microscope. We routinely use our in-house information management system to record and track quality control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will depend upon our ability to maintain efficient operations at our existing production facility and our ability to expand our production capacity as needed. The average utilization rate of our production lines was 59.8%, 60.8%, and 51.3% for fiscal years ended March 31, 2026, 2025, and 2024, respectively. The utilization rate of our production facility depends primarily on the demand for our products and the availability and maintenance of our machinery and equipment but may also be affected by other factors, such as the availability of employees, seasonal factors and changes in environmental laws and regulations. In order to meet our customers’ demands and advancements in technology, we maintain and upgrade our equipment periodically.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general product warranty for durations ranging from one to two years based on the products and their end applications. For example, we provide a one-year warranty for cables and wire harnesses for robotic arms, and a two-year warranty for cables and wire harnesses for air ventilators. Since we implement strict quality control procedures, we have not incurred significant warranty costs. Our warranty cost for each of the fiscal years ended March 31, 2026, 2025, and 2024 was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best marketing is through: (1) making quality products that consistently meet and exceed customer expectations, and (2) providing excellent customer services to establish long-term relationships with satisfied customers. We have a dedicated sales team with 18 employees working from our Hong Kong and PRC office. We market our products through direct marketing efforts, including running advertising and promotions on our website, sending informational and promotional emails to potential customers, distributing advertisement materials through the mail, as well as benefitting from customer referrals. Additionally, since 2006, we have been attending and successfully recruiting new customers at the Electronica trade fair for the electronics industry held in Munich, Germany. We plan to recruit more qualified sales executives and staff, and attend more exhibitions and trade fairs to promote our products and grow our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an industry that is highly competitive and fast-changing with new technologies and evolving market trends. We have competitors that manufacture products similar to ours, and some of these companies may have more assets, resources and a larger market share than ours. However, we believe that our industrial reputation, continuous marketing efforts and effective quality control enable us to compete effectively against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intellectual property is a strategic priority for our business. We rely on a combination of patent, trademark and trade secret laws, as well as confidentiality agreements, to establish and protect our proprietary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Interconnect DG owns a portfolio of intellectual property, including 61 patents registered with the Chinese intellectual property agency, confidential technical information and technological expertise in manufacturing interconnect products. Of the 61 patents, 11 are invention patents, which were granted to CCSC Interconnect DG in the years between 2013 and 2024, each for a duration of 20 years, commencing from the date of application and the other 50 are utility models, which were granted to CCSC Interconnect DG in the years between 2017 and 2025, each for a duration of 10 years. We do not foresee any material impact on our business when they expire in the future, the earliest of which will be on October 30,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Interconnect HK owns a portfolio of intellectual property, including 18 trademarks, each for a term of ten years, commencing in 2025 and 2026, which are registered in Hong Kong, Malaysia, Taiwan, Singapore, Indonesia, and the European Union; and four patents registered with the Hong Kong and Taiwan intellectual property agencies for durations of eight and ten years, respectively, as well as confidential technical information and technological expertise in manufacturing liquid cooling cabinets. We do not foresee any material impact on our business when they expire in the future, the earliest of which will be on September 2,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Interconnect HK was granted an irrevocable exclusive license to use 13 trademarks by a company held by one of its shareholders for a term of ten years commencing from June 1, 2020. These trademarks are registered with the Trade Marks Registry, Intellectual Property Department of the Government of the Hong Kong Special Administrative Region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intellectual property rights, confidentiality procedures and contractual provisions are adequate for our business operations. While we value our intellectual properties and related assets, we do not believe that our market position and competitiveness are heavily dependent on them, or that our operations are dependent upon any single patent or group of related patents to manufacture our products. We review third-party proprietary rights, including patents and patent applications, as available, in an effort to develop effective intellectual property strategies, avoid infringement of third-party proprietary rights, identify licensing opportunities and monitor the intellectual property claims of others. We nevertheless face intellectual property-related risks. For more information on these risks, see “Item 3. Key Information—D. Risk Factors—Risks Related to Our Business—Our success depends on our ability to protect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experienced, and do not expect to experience, any seasonal fluctuations in our results of operations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certain insurance policies to safeguard against risks and unexpected events. CCSC Interconnect DG provides social security insurance including pension insurance, unemployment insurance, work-related injury insurance and medical insurance for its employees. CCSC Interconnect DG also maintains property insurance for fixed assets and inventories. CCSC Interconnect DG is not required to maintain key man insurance, business interruption insurance or product liability insurance under PRC laws and only provides product liability insurance to certain customers on a case-by-case basis. During the fiscal years ended March 31, 2024, 2025, and 2026 we did not file any material insurance claims in relation to our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subsidiaries had a total of 243, 243, 264, and 273 employees as of July 1, 2026, and March 31, 2026, 2025, and 2024, respectively. The following table sets forth the number of our employees by function as of July 1, 2026:</w:t>
      </w:r>
    </w:p>
    <w:p>
      <w:pPr>
        <w:pStyle w:val="TextBody"/>
        <w:bidi w:val="0"/>
        <w:spacing w:before="0" w:after="0"/>
        <w:ind w:left="0" w:right="0" w:hanging="0"/>
        <w:jc w:val="both"/>
        <w:rPr>
          <w:caps w:val="false"/>
          <w:smallCaps w:val="false"/>
        </w:rPr>
      </w:pPr>
      <w:r>
        <w:rPr>
          <w:caps w:val="false"/>
          <w:smallCaps w:val="false"/>
        </w:rPr>
        <w:t> </w:t>
      </w:r>
    </w:p>
    <w:tbl>
      <w:tblPr>
        <w:tblW w:w="5649" w:type="dxa"/>
        <w:jc w:val="left"/>
        <w:tblInd w:w="0" w:type="dxa"/>
        <w:tblLayout w:type="fixed"/>
        <w:tblCellMar>
          <w:top w:w="0" w:type="dxa"/>
          <w:left w:w="0" w:type="dxa"/>
          <w:bottom w:w="28" w:type="dxa"/>
          <w:right w:w="0" w:type="dxa"/>
        </w:tblCellMar>
      </w:tblPr>
      <w:tblGrid>
        <w:gridCol w:w="4205"/>
        <w:gridCol w:w="90"/>
        <w:gridCol w:w="219"/>
        <w:gridCol w:w="1000"/>
        <w:gridCol w:w="135"/>
      </w:tblGrid>
      <w:tr>
        <w:trPr/>
        <w:tc>
          <w:tcPr>
            <w:tcW w:w="4205" w:type="dxa"/>
            <w:tcBorders>
              <w:bottom w:val="single" w:sz="12" w:space="0" w:color="000000"/>
            </w:tcBorders>
            <w:vAlign w:val="center"/>
          </w:tcPr>
          <w:p>
            <w:pPr>
              <w:pStyle w:val="TableContents"/>
              <w:bidi w:val="0"/>
              <w:spacing w:before="0" w:after="283"/>
              <w:jc w:val="left"/>
              <w:rPr>
                <w:b/>
              </w:rPr>
            </w:pPr>
            <w:r>
              <w:rPr>
                <w:b/>
              </w:rPr>
              <w:t>Department</w:t>
            </w:r>
          </w:p>
        </w:tc>
        <w:tc>
          <w:tcPr>
            <w:tcW w:w="9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Employees</w:t>
            </w:r>
          </w:p>
        </w:tc>
        <w:tc>
          <w:tcPr>
            <w:tcW w:w="135" w:type="dxa"/>
            <w:tcBorders/>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Management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tcMar>
              <w:bottom w:w="0" w:type="dxa"/>
            </w:tcMar>
            <w:vAlign w:val="center"/>
          </w:tcPr>
          <w:p>
            <w:pPr>
              <w:pStyle w:val="TableContents"/>
              <w:bidi w:val="0"/>
              <w:spacing w:before="0" w:after="283"/>
              <w:jc w:val="left"/>
              <w:rPr/>
            </w:pPr>
            <w:r>
              <w:rPr/>
              <w:t>Manufacturing</w:t>
            </w:r>
          </w:p>
        </w:tc>
        <w:tc>
          <w:tcPr>
            <w:tcW w:w="90" w:type="dxa"/>
            <w:tcBorders/>
            <w:tcMar>
              <w:bottom w:w="0" w:type="dxa"/>
            </w:tcMar>
            <w:vAlign w:val="center"/>
          </w:tcPr>
          <w:p>
            <w:pPr>
              <w:pStyle w:val="TableContents"/>
              <w:bidi w:val="0"/>
              <w:spacing w:before="0" w:after="283"/>
              <w:jc w:val="left"/>
              <w:rPr/>
            </w:pPr>
            <w:r>
              <w:rPr/>
              <w:t> </w:t>
            </w:r>
          </w:p>
        </w:tc>
        <w:tc>
          <w:tcPr>
            <w:tcW w:w="219" w:type="dxa"/>
            <w:tcBorders/>
            <w:tcMar>
              <w:bottom w:w="0" w:type="dxa"/>
            </w:tcMar>
            <w:vAlign w:val="center"/>
          </w:tcPr>
          <w:p>
            <w:pPr>
              <w:pStyle w:val="TableContents"/>
              <w:bidi w:val="0"/>
              <w:spacing w:before="0" w:after="283"/>
              <w:jc w:val="left"/>
              <w:rPr/>
            </w:pPr>
            <w:r>
              <w:rPr/>
              <w:t> </w:t>
            </w:r>
          </w:p>
        </w:tc>
        <w:tc>
          <w:tcPr>
            <w:tcW w:w="1000" w:type="dxa"/>
            <w:tcBorders/>
            <w:tcMar>
              <w:bottom w:w="0" w:type="dxa"/>
            </w:tcMar>
            <w:vAlign w:val="center"/>
          </w:tcPr>
          <w:p>
            <w:pPr>
              <w:pStyle w:val="TableContents"/>
              <w:bidi w:val="0"/>
              <w:spacing w:before="0" w:after="283"/>
              <w:jc w:val="right"/>
              <w:rPr/>
            </w:pPr>
            <w:r>
              <w:rPr/>
              <w:t>127</w:t>
            </w:r>
          </w:p>
        </w:tc>
        <w:tc>
          <w:tcPr>
            <w:tcW w:w="135" w:type="dxa"/>
            <w:tcBorders/>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Engineering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18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tcMar>
              <w:bottom w:w="0" w:type="dxa"/>
            </w:tcMar>
            <w:vAlign w:val="center"/>
          </w:tcPr>
          <w:p>
            <w:pPr>
              <w:pStyle w:val="TableContents"/>
              <w:bidi w:val="0"/>
              <w:spacing w:before="0" w:after="283"/>
              <w:jc w:val="left"/>
              <w:rPr/>
            </w:pPr>
            <w:r>
              <w:rPr/>
              <w:t>Quality</w:t>
            </w:r>
          </w:p>
        </w:tc>
        <w:tc>
          <w:tcPr>
            <w:tcW w:w="90" w:type="dxa"/>
            <w:tcBorders/>
            <w:tcMar>
              <w:bottom w:w="0" w:type="dxa"/>
            </w:tcMar>
            <w:vAlign w:val="center"/>
          </w:tcPr>
          <w:p>
            <w:pPr>
              <w:pStyle w:val="TableContents"/>
              <w:bidi w:val="0"/>
              <w:spacing w:before="0" w:after="283"/>
              <w:jc w:val="left"/>
              <w:rPr/>
            </w:pPr>
            <w:r>
              <w:rPr/>
              <w:t> </w:t>
            </w:r>
          </w:p>
        </w:tc>
        <w:tc>
          <w:tcPr>
            <w:tcW w:w="219" w:type="dxa"/>
            <w:tcBorders/>
            <w:tcMar>
              <w:bottom w:w="0" w:type="dxa"/>
            </w:tcMar>
            <w:vAlign w:val="center"/>
          </w:tcPr>
          <w:p>
            <w:pPr>
              <w:pStyle w:val="TableContents"/>
              <w:bidi w:val="0"/>
              <w:spacing w:before="0" w:after="283"/>
              <w:jc w:val="left"/>
              <w:rPr/>
            </w:pPr>
            <w:r>
              <w:rPr/>
              <w:t> </w:t>
            </w:r>
          </w:p>
        </w:tc>
        <w:tc>
          <w:tcPr>
            <w:tcW w:w="1000" w:type="dxa"/>
            <w:tcBorders/>
            <w:tcMar>
              <w:bottom w:w="0" w:type="dxa"/>
            </w:tcMar>
            <w:vAlign w:val="center"/>
          </w:tcPr>
          <w:p>
            <w:pPr>
              <w:pStyle w:val="TableContents"/>
              <w:bidi w:val="0"/>
              <w:spacing w:before="0" w:after="283"/>
              <w:jc w:val="right"/>
              <w:rPr/>
            </w:pPr>
            <w:r>
              <w:rPr/>
              <w:t>25</w:t>
            </w:r>
          </w:p>
        </w:tc>
        <w:tc>
          <w:tcPr>
            <w:tcW w:w="135" w:type="dxa"/>
            <w:tcBorders/>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Sales and marketing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18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tcMar>
              <w:bottom w:w="0" w:type="dxa"/>
            </w:tcMar>
            <w:vAlign w:val="center"/>
          </w:tcPr>
          <w:p>
            <w:pPr>
              <w:pStyle w:val="TableContents"/>
              <w:bidi w:val="0"/>
              <w:spacing w:before="0" w:after="283"/>
              <w:jc w:val="left"/>
              <w:rPr/>
            </w:pPr>
            <w:r>
              <w:rPr/>
              <w:t>Warehouse, production and material control</w:t>
            </w:r>
          </w:p>
        </w:tc>
        <w:tc>
          <w:tcPr>
            <w:tcW w:w="90" w:type="dxa"/>
            <w:tcBorders/>
            <w:tcMar>
              <w:bottom w:w="0" w:type="dxa"/>
            </w:tcMar>
            <w:vAlign w:val="center"/>
          </w:tcPr>
          <w:p>
            <w:pPr>
              <w:pStyle w:val="TableContents"/>
              <w:bidi w:val="0"/>
              <w:spacing w:before="0" w:after="283"/>
              <w:jc w:val="left"/>
              <w:rPr/>
            </w:pPr>
            <w:r>
              <w:rPr/>
              <w:t> </w:t>
            </w:r>
          </w:p>
        </w:tc>
        <w:tc>
          <w:tcPr>
            <w:tcW w:w="219" w:type="dxa"/>
            <w:tcBorders/>
            <w:tcMar>
              <w:bottom w:w="0" w:type="dxa"/>
            </w:tcMar>
            <w:vAlign w:val="center"/>
          </w:tcPr>
          <w:p>
            <w:pPr>
              <w:pStyle w:val="TableContents"/>
              <w:bidi w:val="0"/>
              <w:spacing w:before="0" w:after="283"/>
              <w:jc w:val="left"/>
              <w:rPr/>
            </w:pPr>
            <w:r>
              <w:rPr/>
              <w:t> </w:t>
            </w:r>
          </w:p>
        </w:tc>
        <w:tc>
          <w:tcPr>
            <w:tcW w:w="1000" w:type="dxa"/>
            <w:tcBorders/>
            <w:tcMar>
              <w:bottom w:w="0" w:type="dxa"/>
            </w:tcMar>
            <w:vAlign w:val="center"/>
          </w:tcPr>
          <w:p>
            <w:pPr>
              <w:pStyle w:val="TableContents"/>
              <w:bidi w:val="0"/>
              <w:spacing w:before="0" w:after="283"/>
              <w:jc w:val="right"/>
              <w:rPr/>
            </w:pPr>
            <w:r>
              <w:rPr/>
              <w:t>17</w:t>
            </w:r>
          </w:p>
        </w:tc>
        <w:tc>
          <w:tcPr>
            <w:tcW w:w="135" w:type="dxa"/>
            <w:tcBorders/>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Purchasing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tcMar>
              <w:bottom w:w="0" w:type="dxa"/>
            </w:tcMar>
            <w:vAlign w:val="center"/>
          </w:tcPr>
          <w:p>
            <w:pPr>
              <w:pStyle w:val="TableContents"/>
              <w:bidi w:val="0"/>
              <w:spacing w:before="0" w:after="283"/>
              <w:jc w:val="left"/>
              <w:rPr/>
            </w:pPr>
            <w:r>
              <w:rPr/>
              <w:t>Finance</w:t>
            </w:r>
          </w:p>
        </w:tc>
        <w:tc>
          <w:tcPr>
            <w:tcW w:w="90" w:type="dxa"/>
            <w:tcBorders/>
            <w:tcMar>
              <w:bottom w:w="0" w:type="dxa"/>
            </w:tcMar>
            <w:vAlign w:val="center"/>
          </w:tcPr>
          <w:p>
            <w:pPr>
              <w:pStyle w:val="TableContents"/>
              <w:bidi w:val="0"/>
              <w:spacing w:before="0" w:after="283"/>
              <w:jc w:val="left"/>
              <w:rPr/>
            </w:pPr>
            <w:r>
              <w:rPr/>
              <w:t> </w:t>
            </w:r>
          </w:p>
        </w:tc>
        <w:tc>
          <w:tcPr>
            <w:tcW w:w="219" w:type="dxa"/>
            <w:tcBorders/>
            <w:tcMar>
              <w:bottom w:w="0" w:type="dxa"/>
            </w:tcMar>
            <w:vAlign w:val="center"/>
          </w:tcPr>
          <w:p>
            <w:pPr>
              <w:pStyle w:val="TableContents"/>
              <w:bidi w:val="0"/>
              <w:spacing w:before="0" w:after="283"/>
              <w:jc w:val="left"/>
              <w:rPr/>
            </w:pPr>
            <w:r>
              <w:rPr/>
              <w:t> </w:t>
            </w:r>
          </w:p>
        </w:tc>
        <w:tc>
          <w:tcPr>
            <w:tcW w:w="1000" w:type="dxa"/>
            <w:tcBorders/>
            <w:tcMar>
              <w:bottom w:w="0" w:type="dxa"/>
            </w:tcMar>
            <w:vAlign w:val="center"/>
          </w:tcPr>
          <w:p>
            <w:pPr>
              <w:pStyle w:val="TableContents"/>
              <w:bidi w:val="0"/>
              <w:spacing w:before="0" w:after="283"/>
              <w:jc w:val="right"/>
              <w:rPr/>
            </w:pPr>
            <w:r>
              <w:rPr/>
              <w:t>12</w:t>
            </w:r>
          </w:p>
        </w:tc>
        <w:tc>
          <w:tcPr>
            <w:tcW w:w="135" w:type="dxa"/>
            <w:tcBorders/>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Administration, MIS and Human resources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12" w:space="0" w:color="000000"/>
            </w:tcBorders>
            <w:shd w:fill="CCEEFF" w:val="clear"/>
            <w:vAlign w:val="center"/>
          </w:tcPr>
          <w:p>
            <w:pPr>
              <w:pStyle w:val="TableContents"/>
              <w:bidi w:val="0"/>
              <w:spacing w:before="0" w:after="283"/>
              <w:jc w:val="left"/>
              <w:rPr/>
            </w:pPr>
            <w:r>
              <w:rPr/>
              <w:t> </w:t>
            </w:r>
          </w:p>
        </w:tc>
        <w:tc>
          <w:tcPr>
            <w:tcW w:w="1000" w:type="dxa"/>
            <w:tcBorders>
              <w:bottom w:val="single" w:sz="12" w:space="0" w:color="000000"/>
            </w:tcBorders>
            <w:shd w:fill="CCEEFF" w:val="clear"/>
            <w:vAlign w:val="center"/>
          </w:tcPr>
          <w:p>
            <w:pPr>
              <w:pStyle w:val="TableContents"/>
              <w:bidi w:val="0"/>
              <w:spacing w:before="0" w:after="283"/>
              <w:jc w:val="right"/>
              <w:rPr/>
            </w:pPr>
            <w:r>
              <w:rPr/>
              <w:t>15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tcMar>
              <w:bottom w:w="0" w:type="dxa"/>
            </w:tcMar>
            <w:vAlign w:val="center"/>
          </w:tcPr>
          <w:p>
            <w:pPr>
              <w:pStyle w:val="TableContents"/>
              <w:bidi w:val="0"/>
              <w:spacing w:before="0" w:after="283"/>
              <w:jc w:val="left"/>
              <w:rPr>
                <w:b/>
              </w:rPr>
            </w:pPr>
            <w:r>
              <w:rPr>
                <w:b/>
              </w:rPr>
              <w:t>Total</w:t>
            </w:r>
          </w:p>
        </w:tc>
        <w:tc>
          <w:tcPr>
            <w:tcW w:w="90" w:type="dxa"/>
            <w:tcBorders/>
            <w:tcMar>
              <w:bottom w:w="0" w:type="dxa"/>
            </w:tcMar>
            <w:vAlign w:val="center"/>
          </w:tcPr>
          <w:p>
            <w:pPr>
              <w:pStyle w:val="TableContents"/>
              <w:bidi w:val="0"/>
              <w:spacing w:before="0" w:after="283"/>
              <w:jc w:val="left"/>
              <w:rPr/>
            </w:pPr>
            <w:r>
              <w:rPr/>
              <w:t> </w:t>
            </w:r>
          </w:p>
        </w:tc>
        <w:tc>
          <w:tcPr>
            <w:tcW w:w="219" w:type="dxa"/>
            <w:tcBorders>
              <w:bottom w:val="double" w:sz="10" w:space="0" w:color="000000"/>
            </w:tcBorders>
            <w:vAlign w:val="center"/>
          </w:tcPr>
          <w:p>
            <w:pPr>
              <w:pStyle w:val="TableContents"/>
              <w:bidi w:val="0"/>
              <w:spacing w:before="0" w:after="283"/>
              <w:jc w:val="left"/>
              <w:rPr/>
            </w:pPr>
            <w:r>
              <w:rPr/>
              <w:t> </w:t>
            </w:r>
          </w:p>
        </w:tc>
        <w:tc>
          <w:tcPr>
            <w:tcW w:w="1000" w:type="dxa"/>
            <w:tcBorders>
              <w:bottom w:val="double" w:sz="10" w:space="0" w:color="000000"/>
            </w:tcBorders>
            <w:vAlign w:val="center"/>
          </w:tcPr>
          <w:p>
            <w:pPr>
              <w:pStyle w:val="TableContents"/>
              <w:bidi w:val="0"/>
              <w:spacing w:before="0" w:after="283"/>
              <w:jc w:val="right"/>
              <w:rPr>
                <w:b/>
              </w:rPr>
            </w:pPr>
            <w:r>
              <w:rPr>
                <w:b/>
              </w:rPr>
              <w:t>243</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employment contracts with our full-time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regulations in China, CCSC Interconnect DG participates in various employee social security plans that are organized by municipal and provincial governments for our PRC-based full-time employees, including pension, unemployment insurance, childbirth insurance, work-related injury insurance, medical insurance and housing insurance. In Hong Kong, CCSC Technology Group and CCSC Interconnect HK participate in a contribution scheme, which is registered under the Mandatory Provident Fund Scheme (the “MPF Scheme”) established pursuant to the Mandatory Provident Fund Schemes Ordinance that took effect in December 2000. For each of Hong Kong’s full-time employees, CCSC Technology Group and CCSC Interconnect HK contribute the lower of HK$1,500 per month or 5% of relevant payroll costs each month to the MPF Scheme. In the Netherlands, the “Algemene Ouderdomswet”, or “AOW”, is a basic state pension insurance scheme, and everyone who lives or works in the Netherlands is insured automatically under the AOW, regardless of his or her nationality. CCSC Interconnect NL makes AOW contributions for its employees to the Dutch Tax and Customs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are not covered by any collective bargaining agreement. We believe that we maintain a good working relationship with our employees, and we have not experienced any significant labor disputes.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 and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below facilities. We believe that our facilities are suitable and adequate for our operations and are adequately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318"/>
        <w:gridCol w:w="90"/>
        <w:gridCol w:w="137"/>
        <w:gridCol w:w="1275"/>
        <w:gridCol w:w="90"/>
        <w:gridCol w:w="90"/>
        <w:gridCol w:w="1347"/>
        <w:gridCol w:w="90"/>
        <w:gridCol w:w="1768"/>
      </w:tblGrid>
      <w:tr>
        <w:trPr/>
        <w:tc>
          <w:tcPr>
            <w:tcW w:w="5318" w:type="dxa"/>
            <w:tcBorders>
              <w:bottom w:val="single" w:sz="12" w:space="0" w:color="000000"/>
            </w:tcBorders>
            <w:vAlign w:val="center"/>
          </w:tcPr>
          <w:p>
            <w:pPr>
              <w:pStyle w:val="TableContents"/>
              <w:bidi w:val="0"/>
              <w:spacing w:before="0" w:after="283"/>
              <w:jc w:val="left"/>
              <w:rPr>
                <w:b/>
              </w:rPr>
            </w:pPr>
            <w:r>
              <w:rPr>
                <w:b/>
              </w:rPr>
              <w:t>Real Property Locations</w:t>
            </w:r>
          </w:p>
        </w:tc>
        <w:tc>
          <w:tcPr>
            <w:tcW w:w="90" w:type="dxa"/>
            <w:tcBorders/>
            <w:tcMar>
              <w:bottom w:w="0" w:type="dxa"/>
            </w:tcMar>
            <w:vAlign w:val="center"/>
          </w:tcPr>
          <w:p>
            <w:pPr>
              <w:pStyle w:val="TableContents"/>
              <w:bidi w:val="0"/>
              <w:spacing w:before="0" w:after="283"/>
              <w:jc w:val="left"/>
              <w:rPr/>
            </w:pPr>
            <w:r>
              <w:rPr/>
              <w:t> </w:t>
            </w:r>
          </w:p>
        </w:tc>
        <w:tc>
          <w:tcPr>
            <w:tcW w:w="1412" w:type="dxa"/>
            <w:gridSpan w:val="2"/>
            <w:tcBorders>
              <w:bottom w:val="single" w:sz="12" w:space="0" w:color="000000"/>
            </w:tcBorders>
            <w:vAlign w:val="center"/>
          </w:tcPr>
          <w:p>
            <w:pPr>
              <w:pStyle w:val="TableContents"/>
              <w:bidi w:val="0"/>
              <w:spacing w:before="0" w:after="283"/>
              <w:jc w:val="center"/>
              <w:rPr>
                <w:b/>
              </w:rPr>
            </w:pPr>
            <w:r>
              <w:rPr>
                <w:b/>
              </w:rPr>
              <w:t xml:space="preserve">Approximate </w:t>
              <w:br/>
              <w:t>Square Feet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7" w:type="dxa"/>
            <w:tcBorders>
              <w:bottom w:val="single" w:sz="12" w:space="0" w:color="000000"/>
            </w:tcBorders>
            <w:vAlign w:val="center"/>
          </w:tcPr>
          <w:p>
            <w:pPr>
              <w:pStyle w:val="TableContents"/>
              <w:bidi w:val="0"/>
              <w:spacing w:before="0" w:after="283"/>
              <w:jc w:val="center"/>
              <w:rPr>
                <w:b/>
              </w:rPr>
            </w:pPr>
            <w:r>
              <w:rPr>
                <w:b/>
              </w:rPr>
              <w:t>Use</w:t>
            </w:r>
          </w:p>
        </w:tc>
        <w:tc>
          <w:tcPr>
            <w:tcW w:w="90" w:type="dxa"/>
            <w:tcBorders/>
            <w:tcMar>
              <w:bottom w:w="0" w:type="dxa"/>
            </w:tcMar>
            <w:vAlign w:val="center"/>
          </w:tcPr>
          <w:p>
            <w:pPr>
              <w:pStyle w:val="TableContents"/>
              <w:bidi w:val="0"/>
              <w:spacing w:before="0" w:after="283"/>
              <w:jc w:val="left"/>
              <w:rPr/>
            </w:pPr>
            <w:r>
              <w:rPr/>
              <w:t> </w:t>
            </w:r>
          </w:p>
        </w:tc>
        <w:tc>
          <w:tcPr>
            <w:tcW w:w="1768" w:type="dxa"/>
            <w:tcBorders>
              <w:bottom w:val="single" w:sz="12" w:space="0" w:color="000000"/>
            </w:tcBorders>
            <w:vAlign w:val="center"/>
          </w:tcPr>
          <w:p>
            <w:pPr>
              <w:pStyle w:val="TableContents"/>
              <w:bidi w:val="0"/>
              <w:spacing w:before="0" w:after="283"/>
              <w:ind w:left="0" w:right="0" w:hanging="180"/>
              <w:jc w:val="center"/>
              <w:rPr>
                <w:b/>
              </w:rPr>
            </w:pPr>
            <w:r>
              <w:rPr>
                <w:b/>
              </w:rPr>
              <w:t xml:space="preserve">Owned or Leased </w:t>
              <w:br/>
              <w:t>(term of lease)</w:t>
            </w:r>
          </w:p>
        </w:tc>
      </w:tr>
      <w:tr>
        <w:trPr/>
        <w:tc>
          <w:tcPr>
            <w:tcW w:w="5318" w:type="dxa"/>
            <w:tcBorders/>
            <w:shd w:fill="CCEEFF" w:val="clear"/>
            <w:tcMar>
              <w:bottom w:w="0" w:type="dxa"/>
            </w:tcMar>
            <w:vAlign w:val="center"/>
          </w:tcPr>
          <w:p>
            <w:pPr>
              <w:pStyle w:val="TableContents"/>
              <w:bidi w:val="0"/>
              <w:spacing w:before="0" w:after="283"/>
              <w:jc w:val="both"/>
              <w:rPr/>
            </w:pPr>
            <w:r>
              <w:rPr/>
              <w:t>No. 50, Puxing West Road, Yuliangwei Village, Shenzhen Shangsha Qingxi Industrial Park of Yuliangwei Management Area, Qingxi Town, Dongguan, Guangdong Province, 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189,983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center"/>
              <w:rPr/>
            </w:pPr>
            <w:r>
              <w:rPr/>
              <w:t>Factory and staff quarter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ind w:left="0" w:right="0" w:hanging="180"/>
              <w:jc w:val="center"/>
              <w:rPr/>
            </w:pPr>
            <w:r>
              <w:rPr/>
              <w:t>Leased (from September 2022 to August 2027)</w:t>
            </w:r>
          </w:p>
        </w:tc>
      </w:tr>
      <w:tr>
        <w:trPr/>
        <w:tc>
          <w:tcPr>
            <w:tcW w:w="531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ind w:left="0" w:right="0" w:hanging="180"/>
              <w:jc w:val="left"/>
              <w:rPr/>
            </w:pPr>
            <w:r>
              <w:rPr/>
              <w:t> </w:t>
            </w:r>
          </w:p>
        </w:tc>
      </w:tr>
      <w:tr>
        <w:trPr/>
        <w:tc>
          <w:tcPr>
            <w:tcW w:w="5318" w:type="dxa"/>
            <w:tcBorders/>
            <w:shd w:fill="CCEEFF" w:val="clear"/>
            <w:tcMar>
              <w:bottom w:w="0" w:type="dxa"/>
            </w:tcMar>
            <w:vAlign w:val="center"/>
          </w:tcPr>
          <w:p>
            <w:pPr>
              <w:pStyle w:val="TableContents"/>
              <w:bidi w:val="0"/>
              <w:spacing w:before="0" w:after="283"/>
              <w:jc w:val="both"/>
              <w:rPr/>
            </w:pPr>
            <w:r>
              <w:rPr/>
              <w:t>1301-1303, 13/f, Shatin Galleria, 18-24 Shan Mei Street, Fotan, Shatin, Hong Kong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2,555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center"/>
              <w:rPr/>
            </w:pPr>
            <w:r>
              <w:rPr/>
              <w:t>Head office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ind w:left="0" w:right="0" w:hanging="180"/>
              <w:jc w:val="center"/>
              <w:rPr/>
            </w:pPr>
            <w:r>
              <w:rPr/>
              <w:t>Leased (from December 2025 to November 2027)</w:t>
            </w:r>
          </w:p>
        </w:tc>
      </w:tr>
      <w:tr>
        <w:trPr/>
        <w:tc>
          <w:tcPr>
            <w:tcW w:w="531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ind w:left="0" w:right="0" w:hanging="180"/>
              <w:jc w:val="left"/>
              <w:rPr/>
            </w:pPr>
            <w:r>
              <w:rPr/>
              <w:t> </w:t>
            </w:r>
          </w:p>
        </w:tc>
      </w:tr>
      <w:tr>
        <w:trPr/>
        <w:tc>
          <w:tcPr>
            <w:tcW w:w="5318" w:type="dxa"/>
            <w:tcBorders/>
            <w:shd w:fill="CCEEFF" w:val="clear"/>
            <w:tcMar>
              <w:bottom w:w="0" w:type="dxa"/>
            </w:tcMar>
            <w:vAlign w:val="center"/>
          </w:tcPr>
          <w:p>
            <w:pPr>
              <w:pStyle w:val="TableContents"/>
              <w:bidi w:val="0"/>
              <w:spacing w:before="0" w:after="283"/>
              <w:jc w:val="both"/>
              <w:rPr/>
            </w:pPr>
            <w:r>
              <w:rPr/>
              <w:t>Klompenmakerstraat 16a, 2984BB Ridderkerk, the Netherlands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c>
          <w:tcPr>
            <w:tcW w:w="1275" w:type="dxa"/>
            <w:tcBorders>
              <w:bottom w:val="single" w:sz="12" w:space="0" w:color="000000"/>
            </w:tcBorders>
            <w:shd w:fill="CCEEFF" w:val="clear"/>
            <w:vAlign w:val="center"/>
          </w:tcPr>
          <w:p>
            <w:pPr>
              <w:pStyle w:val="TableContents"/>
              <w:bidi w:val="0"/>
              <w:spacing w:before="0" w:after="283"/>
              <w:jc w:val="right"/>
              <w:rPr/>
            </w:pPr>
            <w:r>
              <w:rPr/>
              <w:t>5,113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center"/>
              <w:rPr/>
            </w:pPr>
            <w:r>
              <w:rPr/>
              <w:t>Office and warehouse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ind w:left="0" w:right="0" w:hanging="180"/>
              <w:jc w:val="center"/>
              <w:rPr/>
            </w:pPr>
            <w:r>
              <w:rPr/>
              <w:t>Leased (from January 2019 to May 2028)</w:t>
            </w:r>
          </w:p>
        </w:tc>
      </w:tr>
      <w:tr>
        <w:trPr/>
        <w:tc>
          <w:tcPr>
            <w:tcW w:w="5318"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37" w:type="dxa"/>
            <w:tcBorders>
              <w:bottom w:val="double" w:sz="10" w:space="0" w:color="000000"/>
            </w:tcBorders>
            <w:vAlign w:val="center"/>
          </w:tcPr>
          <w:p>
            <w:pPr>
              <w:pStyle w:val="TableContents"/>
              <w:bidi w:val="0"/>
              <w:spacing w:before="0" w:after="283"/>
              <w:jc w:val="left"/>
              <w:rPr/>
            </w:pPr>
            <w:r>
              <w:rPr/>
              <w:t> </w:t>
            </w:r>
          </w:p>
        </w:tc>
        <w:tc>
          <w:tcPr>
            <w:tcW w:w="1275" w:type="dxa"/>
            <w:tcBorders>
              <w:bottom w:val="double" w:sz="10" w:space="0" w:color="000000"/>
            </w:tcBorders>
            <w:vAlign w:val="center"/>
          </w:tcPr>
          <w:p>
            <w:pPr>
              <w:pStyle w:val="TableContents"/>
              <w:bidi w:val="0"/>
              <w:spacing w:before="0" w:after="283"/>
              <w:jc w:val="right"/>
              <w:rPr/>
            </w:pPr>
            <w:r>
              <w:rPr/>
              <w:t>197,651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Plaintiffs Patrick Shane Johnson, Jack Pena, and Hitesh Dev (collectively, “Plaintiffs”) filed a putative civil class action complaint before the Supreme Court of the State of New York, New York County (the “Court”), requesting judicial intervention.  Plaintiffs, for themselves and others similarly situated, assert claims against approximately 47 issuers (including the Company), as well as a large number of underwriters and individuals.  Although none of the named Plaintiffs are alleged to be current or former shareholders of the Company, Plaintiffs assert claims against the Company for violations of Sections 11 and 12 of the Securities Act of 1933 arising from alleged material misrepresentations or omissions in the Company’s registration statement or prospectus issued in connection with the Company’s initial public offering. More specifically and similar to all of the named defendants-issuers, Plaintiffs allege that the Company purportedly failed to disclose that the Company’s shares were susceptible to pump-and-dump schemes, which Plaintiffs allege purportedly occurred and which schemes were conducted by unknown individuals, of the defendants themselves. The Request for Judicial Intervention filed by Plaintiffs was returned for correction by the Court. Plaintiffs have not yet filed a document correcting the filing. Since March 24, 2026, and as of the date of this annual report, there has been no further activity in the matter involving the Company, nor has there been any formal investigation or regulatory inquiry involving the Company or its officers. The Company has not yet been formally served with the summons and complaint filed in the action. Should the case proceed, the Company believes the claims asserted against it are legally defective and without merit, and the Company intends to vigorously defend the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other than the class action lawsuit described above, 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predominantly conducted by our subsidiaries in mainland China and Hong Kong. Hong Kong was established as a special administrative region of the PRC in accordance with Article 31 of the Constitution of the PRC. The Basic Law of the Hong Kong Special Administrative Region of the People’s Republic of China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furthermore, the laws previously in force in Hong Kong, that is, the common law, rules of equity, ordinances, subordinate legislation and customary law, shall be maintained, except for any that contravene the Basic Law and are subject to any amendment by the legislature of Hong Kong, and the national laws of the PRC shall not be applied in Hong Kong except for those relating to defense, foreign affairs and other matters that are outside the limits of the autonomy of Hong Kong as specified by the Basic Law, which are listed under Annex III to the Basic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Entry Rules for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entry for investment activities in mainland China by foreign investors is mainly governed by the Guidance Catalogue of Encouraged Industries for Foreign Investment (2022 Version), or the Catalogue, which was promulgated by the Ministry of Commerce, or the MOFCOM, and the National Development and Reform Commission, or the NDRC, on October 26, 2022, and became effective on January 1, 2023, and the Special Administrative Measures (Negative List) for the Entrance of Foreign Investment (2024 Version), or the Negative List, which was promulgated by the MOFCOM and the NDRC on September 6, 2024 and became effective on November 1, 2024. The Catalogue lists the encouraged industries for foreign investment, and the Negative List identifies the prohibited and restricted industries for foreign investment. If the investment falls within an “encouraged” category in the Catalogue, such foreign investment can be conducted through the establishment of a wholly foreign-owned enterprise. If the investment falls within the “restricted” category on the Negative List, such foreign investment may be conducted through the establishment of a joint venture enterprise, with varying minimum shareholdings for the mainland China party, depending on the particular industry. If the investment falls within a “prohibited” category on the Negative List, no foreign investment of any kind is allowed. Any investment that occurs within an industry not falling into any of the three categories mentioned above is classified as a permitted industry for foreign investment.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Interconnect DG currently engages in the design, manufacture, and sale of interconnect products, which activities do not fall within any restricted or prohibited category on the Negative 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Foreign Investment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National People’s Congress approved the Foreign Investment Law, which took effect on January 1, 2020 and replaced the three governing laws on foreign investments in mainland China, namely, the PRC Sino-foreign Equity Joint Ventures Law, the PRC Sino-foreign Cooperative Enterprises Law and the PRC Wholly Foreign-owned Enterprises Law, together with their implementation rules and ancillary regulations. The Regulations for the Implementation of the Foreign Investment Law, which were promulgated by the State Council on December 26, 2019, and became effective on January 1, 2020, further clarified and elaborated the relevant provisions of the Foreign Investment Law. The Foreign Investment Law and its Implementation Rules reflect the PRC regulatory trend to rationalize its foreign investment regulatory regime in line with prevailing international practice and the legislative efforts to unify the corporate legal requirements for both foreign and domestic invested enterprises in mainland China, and establish the basic framework for the access to, and the promotion, protection and administration of, foreign investments with a view to investment protection and fair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Investment Law, “foreign investment” refers to investment activities directly or indirectly conducted by one or more natural persons, business entities, or other organizations of a foreign country (collectively referred to as “foreign investor”) within mainland China, and the investment activities include the following circumstances: (i) a foreign investor, individually or collectively with other investors, establishes a foreign-invested enterprise within mainland China; (ii) a foreign investor acquires stock shares, equity interest, shares in assets, or other equivalent rights and interests of an enterprise within mainland China; (iii) a foreign investor, individually or collectively with other investors, invests in a new project within mainland China; and (iv) investments in other means as provided by laws, administrative regulations, or the State Council.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Investment Law grants national treatment to foreign invested enterprises, or FIEs, except for those FIEs that operate in industries deemed to be either “restricted” or “prohibited” in the Negative List. The Foreign Investment Law provides that FIEs operating in foreign restricted industries will require market entry clearance and other approvals from relevant PRC authorities. If a foreign investor is found to invest in any prohibited industry as stipulated in the Negative List, such foreign investor may be required to, among other things, cease its investment activities, dispose of its equity interests or assets within a prescribed time limit or have its income confiscated. If the investment activity of a foreign investor is in breach of any special administrative measure for restrictive access provided for in the Negative List, the relevant competent department shall order the foreign investor to make corrections within a prescribed time limit and take necessary measures to meet the requirements of the special administrative measure for restrictive access. Moreover, legal liability may be imposed if foreign investors were found to be in violation of the provisions for the access of foreign investment under the Negative 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Foreign Investment Law also provides several protective rules and principles for foreign investors and their investments in mainland China, including, among others, that a foreign investor may freely transfer into or out of mainland China, in Renminbi or a foreign currency, its contributions, profits, capital gains, income from disposition of assets, royalties of intellectual property rights, indemnity or compensation lawfully acquired, and income from liquidation, among others, within mainland China; local governments shall abide by their commitments to foreign investors; governments at all levels and their departments shall enact local normative documents concerning foreign investment in compliance with laws and regulations and shall not impair legitimate rights and interests, impose additional obligations onto FIEs, set market access restrictions and exit conditions, or intervene with the normal production and operation activities of FIEs; except for special circumstances in which case statutory procedures shall be followed and fair and reasonable compensation shall be made in a timely manner, expropriation or requisition of the investment of foreign investors is prohibited; and mandatory technology transfer is prohibited.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Foreign Investment Law provides that FIEs established according to the previous PRC Sino-foreign Equity Joint Ventures Law, the PRC Sino-foreign Cooperative Enterprises Law and the PRC Wholly Foreign-owned Enterprises Law before the Foreign Investment Law was enacted may maintain their structure and corporate governance within five years commencing from January 1,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2019, the MOFCOM and the State Administration for Market Regulation (formerly known as the State Administration for Industry and Commerce) jointly promulgated the Measures for Reporting of Foreign Investment Information, or the Foreign Investment Reporting Measures, which came into effect on January 1, 2020 and replaced the Interim Administrative Measures for the Record-filing of the Establishment and Modification of Foreign-invested Enterprises. The Foreign Investment Reporting Measures establish an online reporting system for foreign investment instead of the previous requirement of the MOFCOM filing and/or approval procedures. Pursuant to the Foreign Investment Reporting Measures, for foreign investment carried out directly or indirectly within mainland China, foreign investors or FIEs shall submit investment information for the establishment, modification and dissolution of, and annual reports on, the FIEs through the online reporting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2020, the NDRC and the MOFCOM promulgated the Measures for Security Review of Foreign Investment, which became effective on January 18, 2021, pursuant to which, security review shall be conducted with respect to foreign investments that affect or are likely to affect national security. The Foreign Investment Security Review Mechanism, in charge of the organization, coordination and guidance of foreign investment security review, is thereby established. A working mechanism office shall be established under the NDRC and led jointly by the NDRC and the MOFCOM to undertake routine work on the security review of foreign investment. According to the Measures for Security Review of Foreign Investment, where foreign investment activities fall within the scope of important cultural products and services, important information technologies and Internet products and services, important financial services, key technologies and other important fields that concern national security, and the foreign investor thereby obtains ultimate control over the enterprise invested in, the foreign investor or any interested party in the PRC shall take the initiative to make a declaration to the working mechanism office prior to making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Company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Company Law (2023 Revision), which was promulgated by the Standing Committee of the National People’s Congress, or the SCNPC, on December 29, 2023 and became effective on July 1, 2024, the establishment, operation and management of corporate entities in mainland China are governed by the PRC Company Law. Unless otherwise stipulated in the relevant laws on foreign investment, FIEs are also required to comply with the provisions of the PRC Company Law. The PRC Company Law defines two types of companies: limited liability companies and companies limited by shares. Our PRC subsidiary, CCSC Interconnect DG, is a limited liability company and is subject to the PRC Company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Environmental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Environmental Protection Law of the PRC issued on December 26, 1989, amended on April 24, 2014 and effective January 1, 2015, entities that cause environmental pollution and other public nuisances shall adopt effective measures to prevent pollution of, and hazards to, the environment. Construction projects shall be equipped with the requisite environmental protection facilities, which must be simultaneously designed, built and put into operation with the main part of the construction. Enterprises discharging pollutants must report to and register with the relevant authorities in accordance with the provisions of the competent environmental protection authority under the State Council. Enterprises and other producers and operators unlawfully discharging pollutants shall be fined and ordered to take corrective measures. For those refusing to make corrections, the competent authority may, starting from the day after the date of ordering correction, continuously impose daily fines in an amount equal to the original fine. Enterprises and other producers and operators which discharge pollutants exceeding the pollutant discharge standard or key pollutant gross discharge control thresholds may be ordered by the competent environmental protection authority to take measures such as restricting production, suspending production and rectification. Serious cases may be referred to and approved by the competent government authority, resulting in orders of suspension or shutdown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according to the Catalog on Classifying and Managing Pollutant Discharge Permits for Stationary Pollution Sources (2019 Version), or the Pollutant Catalog, which was promulgated and became effective on December 20, 2019, management of pollutants shall be carried out depending on different industry sectors, the volumes of pollutants produced and discharged and the degree of environmental impact caused by such pollutants. If an enterprise produces and discharges major pollutants having major impacts on the environment, an intensive pollutant discharge permit is required; if an enterprise produces and discharges minor pollutants having minor impacts on the environment, a simplified pollutant discharge permit is required; if an enterprise produces and discharges a tiny amount of pollutants having tiny impacts on the environment, no pollutant discharge permit is required, but it shall register at the relevant online platform with detailed information about its pollutant discharge, as well as the preventive measures taken on such pollutant 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Interconnect DG has completed the online registration for its pollutant discharge, which will remain valid until April 2,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Product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Product Quality Law of the PRC, promulgated on February 22, 1993, last amended on and effective as of December 29, 2018, producers shall be responsible for the quality of their products. Product quality shall satisfy certain requirements, among other things, no unreasonable danger to personal safety and property safety shall exist, where there are national or industry standards for the protection of health, personal safety and property safety, such standards shall be complied with. If a defective product causes personal injuries or property losses, the injured party can claim compensation either from the producer or the seller; if the producer is responsible for the defective product and the seller compensated the injured party, the seller is entitled to claim such compensation from the producer, and vice versa. If a producer or seller produces or sells products that do not comply with the national or industry standards for the protection of health or personal safety or property safety, orders shall be issued to cease their production or sale and products that have been illegally produced or sold shall be confiscated. A fine shall be imposed equal to an amount greater than the value of the products that have been illegally produced or sold (including products already sold and products not yet sold) but less than three times the value of the products; where there is illegal income, the illegal income shall be confiscated; where the circumstances are serious, the business license shall be revoked; where the case constitutes a crime, criminal liability shall be pursued in accordance with relevant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Foreign Trade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Trade Law of the PRC, promulgated on May 12, 1994 and most recently amended on December 27, 2025 and effective on March 1, 2026, and the Measures for the Record Filing and Registration of Foreign Trade Business Operators promulgated by the MOFCOM on June 25, 2004, which became effective on July 1, 2004 and was last amended on May 10, 2021, foreign trade operators engaged in the import and export of goods or the import and export of technology must register with the MOFCOM or its authorized institution, and subsequent filings shall be completed within thirty (30) days if any changes occur on their registration forms. In addition, if an entity imports or exports goods as consignee or consignor, it shall register with the local customs authority according to the Administrative Provisions on the Declaration of Import and Export Goods, which was promulgated by the General Administration of Customs on March 27, 2025 and effective on May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with the appropriate authorities pursuant to the applicable provisions of the Foreign Trade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the Protection of Consumer Rights and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operators in the business of supplying and selling manufactured goods or services to consumers shall comply with the Law of the PRC on the Protection of Consumer Rights and Interests, or the Consumer Rights Protection Law, promulgated by the SCNPC on October 31, 1993 and last amended on October 25,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Consumer Rights Protection Law, business operators must ensure that the goods or services provided by them meet the requirements for safeguarding personal and property safety. For goods and services that may endanger personal and property safety, consumers shall be provided with a truthful description and an explicit warning, as well as instructions on the proper use of the goods or services and the methods of preventing the occurrence of a hazard. If the goods or services provided by the business operators cause personal injuries to consumers or third parties, the business operators shall compensate the injured parties for their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Work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 Safety Law of the PRC, issued on June 29, 2002, last amended on June 10, 2021 and became effective on September 1, 2021, provides that production and business operation entities shall abide by this law and other laws and regulations concerning work safety; strengthen work safety management; establish and improve work safety responsibility systems and rules; improve work safety conditions; promote work safety standardization; and improve work safety levels, so as to ensure work safety. Production and business operation entities shall have the conditions for work safety as specified in this law and relevant laws, regulations, national standards or industrial specifications. Production and business operation entities that do not have such conditions are not allowed to engage in production or operation activities. Any breach of the Work Safety Law of the PRC may result in various penalties, depending on the specific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trademarks are mainly protected under the Trademark Law of the PRC (2019 Revision) and its Implementation Rules (2023 Revision), collectively the Trademark Laws. Pursuant to the Trademark Laws, the right to exclusive use of a registered trademark shall be limited to trademarks which have been approved for registration and to goods and/or services for which the use of such trademark has been approved. The period of validity of a registered trademark shall be ten years, counted from the day the registration is approved, and may be renewed for another ten years provided that relevant application procedures have been completed within twelve (12) months before the end of the validity period. If the registrant fails to apply for renewal in a timely manner, a grace period of six (6) additional months may be granted. However, if the registrant fails to apply for renewal before the grace period expires, the registered trademark shall be deregistered.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Trademark Laws, the Trademark Office of the State Administration for Market Regulation, or the Trademark Office, is responsible for the registration and administration of trademarks nationwide. The Trademark Office adopted the “first-to-file” principle for trademark registration, if two or more applicants apply for registration of identical or similar trademarks for the same or similar commodities, the application that was filed first will receive preliminary approval and will be publicly announced.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according to the Trademark Laws, using a trademark that is identical to or similar to a registered trademark in connection with the same or similar goods and/or services without the authorization of the owner of the registered trademark constitutes an infringement of the exclusive right to use a registered trademark. As of the date of this annual report, CCSC Interconnect DG does not have any registered trademarks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in the PRC are principally protected under the Patent Law of the PRC (2020 Revision) and its Implementation Rules (2023 Revision), collectively the Patent Laws. According to the Patent Laws, patents in the PRC are classified into three categories, namely, inventions, utility models and designs. The protection period of a patent right is ten (10) years for utility models, fifteen (15) years for designs, and twenty (20) years for inventions from the date of application. The Patent Administration Office under the State Council is responsible for receiving, reviewing and approving patent applications. After a patent right is granted for an invention or utility model, except as otherwise provided for in the Patent Laws, no entity or individual may, without the permission of the patent owner, exploit the patent, that is, manufacture, use, offer to sell, sell or import the patented product, or use the patented method, or use, offer to sell, sell or import any product which is a direct result of the use of the patented method, for production or business purposes. After a patent right is granted for a design, no entity or individual shall, without the permission of the patent owner, exploit the patent, that is, manufacture, offer to sell, sell, or import any product containing the patented design for production or business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CCSC Interconnect DG currently holds 61 registered patents in mainland China, including 11 invention patents and 50 utility model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Domain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Domain names in China are regulated by the Administrative Measures on the Internet Domain Names promulgated by the Ministry of Industry and Information Technology, or the MIIT, on August 24, 2017 and became effective on November 1, 2017. Pursuant to which, “domain name” shall refer to a character mark of hierarchical structure, which identifies and locates a computer on the internet and corresponds to the internet protocol (IP) address of that computer.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relevant rules, the principle of “first-to-file” is applied to domain name registration services. Domain name registrations are handled through domain name service agencies established under the relevant regulations, and applicants become domain name holders upon successful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CCSC Interconnect DG currently holds one registered domain name in mainland China, ccsc-interconnect.com.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Labor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Labor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Labor Law of the PRC (2018 Revision) promulgated and effective on December 29, 2018, companies must enter into employment contracts with their employees based on the principle of fairness. Companies must establish and strengthen an occupational health and safety system, strictly implement the national labor safety and health rules and standards, deliver occupational health and safety education to employees, prevent work-related accidents, and reduce occupational hazards. In addition, employers and employees shall purchase social insurance and pay social insurance premiums in compliance with the applicable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Labor Contract Law of the PRC (2012 Revision), which was promulgated on December 28, 2012 and became effective on July 1, 2013, and the Implementation Regulations on Labor Contract Law, which was promulgated and became effective on September 18, 2008, collectively the Labor Contract Laws, serve as the primary law regulating the labor contract relationship between companies and their employees in respects such as the concluding, performing, alteration, dissolution and termination of a labor contract, requirements on probation period, payment of remuneration and economic compensation, labor dispatches as well as social security premiums. Pursuant to the Labor Contract Laws, an employment relationship is established between the employer and the employee from the day of employment, and a written employment contract shall be executed. Moreover, employers shall pay wages that are no lower than the local minimum wage standards to their employees, and are prohibited from requiring their employees to work beyond certain time limits and shall pay employees for overtime work in accordance with national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Social Insurance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Social Insurance Law of the PRC (2018 Revision), which was promulgated and became effective on December 29, 2018, employers are required to pay basic pension insurance, unemployment insurance, basic medical insurance, employment injury insurance and maternity insurance for their employees at specified percentages of the salaries of the employees, up to a maximum amount specified by the local government regulations from time to time, and employees are required to pay basic pension insurance, unemployment insurance and basic medical insurance at specified percentages of their salaries. When an employer fails to pay social insurance premiums in full on a timely manner, relevant social insurance collection agency shall order it to make up for any shortfall within a prescribed time limit, and may impose a late payment fee at the rate of 0.05% per day of the outstanding amount from the due date. If such employer still fails to make up for the shortfalls within the prescribed time limit, the relevant administrative authorities shall impose a fine of one to three times the outstanding amount upon such employer.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CCSC Interconnect DG has not made adequate social insurance contributions to their employees, which may subject it to make up such shortfalls or fines, see “</w:t>
      </w:r>
      <w:r>
        <w:rPr>
          <w:rFonts w:ascii="Times New Roman;Times;Serif" w:hAnsi="Times New Roman;Times;Serif"/>
          <w:b w:val="false"/>
          <w:i/>
          <w:caps w:val="false"/>
          <w:smallCaps w:val="false"/>
          <w:sz w:val="20"/>
        </w:rPr>
        <w:t>Item 3. Key Information-D. Risk Factors-Risks relating to doing business in China-Our PRC subsidiary has not made adequate social insurance and housing fund contributions for all employees as required by PRC regulations, which may subject us to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Housing Provident Fund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Administrative Regulation on Housing Provident Fund (2019 Revision) which was promulgated and became effective on March 24, 2019, employers must register at the designated administrative centers and open bank accounts for depositing their employees’ housing provident funds. Employers and employees are required to pay housing provident funds at an amount no less than 5% of the monthly average salary of the employee in the preceding year in full and on time. If an employer fails to conduct housing provident fund registration or open housing provident fund accounts for its employees, the relevant housing provident fund administrative center will order it to complete such registration and open accounts within a prescribed time limit; a fine of up to RMB50,000 may be imposed if such employer fails to do so within the prescribed time limit. If the employer fails to pay housing provident fund in part or in full, the relevant housing provident fund administrative center shall order it to pay the outstanding amount within a prescribed time limit, and if such employer fails to comply with such order, the relevant housing provident fund administrative center may apply for compulsory execution from a competent people’s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CCSC Interconnect DG has not made adequate housing provident fund contributions to their employees, which may subject it to fines, see “</w:t>
      </w:r>
      <w:r>
        <w:rPr>
          <w:rFonts w:ascii="Times New Roman;Times;Serif" w:hAnsi="Times New Roman;Times;Serif"/>
          <w:b w:val="false"/>
          <w:i/>
          <w:caps w:val="false"/>
          <w:smallCaps w:val="false"/>
          <w:sz w:val="20"/>
        </w:rPr>
        <w:t>Item 3. Key Information-D. Risk Factors-Risks relating to doing business in China-Our PRC subsidiary has not made adequate social insurance and housing fund contributions for all employees as required by PRC regulations, which may subject us to penalties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Enterprise Income Tax (“EIT”)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EIT Law, which was promulgated by the SCNPC on March 16, 2007 and last amended on December 29, 2018, and its implementation rules, including the Regulations on the Implementation of Enterprise Income Tax Law of the PRC which was promulgated by the State Council on December 6, 2007 and last amended on December 6, 2024 and effective on January 20, 2025, EIT shall be applicable at a uniform rate of 25% to both resident and non-resident enterprises. Resident enterprises are defined as enterprises that are established in mainland China in accordance with PRC laws, or that are established in accordance with the laws of foreign countries but have a de facto management body in mainland China. Non-resident enterprises are defined as enterprises that are established under the laws of foreign countries and have no de facto management body within mainland China, but have established institutions or premises in mainland China, or have no such institutions or premises but have income generated from mainland China. EIT shall be payable by a resident enterprise for income sourced within or outside mainland China. EIT shall be payable by a non-resident enterprise, for income sourced within mainland China by its institutions or premises established in mainland China, and for income sourced outside mainland China for which the institutions or premises established in mainland China have a de facto relationship. Where the non-resident enterprise has no institutions or premises established in mainland China or has income bearing no de facto relationship with the institution or premises established in mainland China, EIT shall be payable by the non-resident enterprise only for income sourced within mainland China at the rate of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Administrative Measures on the Accreditation of High and New Technology Enterprise which was promulgated on January 29, 2016 and became effective as of January 1, 2016, enterprises that have been accredited as a HNTE may enjoy a preferential income tax rate of 15% in accordance with the PRC EIT Law and its implementation rules for a period of three (3) consecutive years, commencing from the year in which such high-tech certificate has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Interconnect DG has obtained the HNTE accreditation since 2016, which was last renewed on December 19, 2025, and has received a preferential income tax rate of 15% rather than the unified rate of 25% for years 2025-2027.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Value-Added Tax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Interim Regulations on Value-added Tax of the PRC promulgated by the State Council on December 13, 1993 and most recently amended on November 19, 2017, and the Detailed Rules on the Implementation of Interim Regulation on Value-added Tax of the PRC promulgated by the Ministry of Finance, or the MOF, on December 25, 1993 and most recently amended on October 28, 2011, collectively the VAT Regulations, all entities and individuals in mainland China engaging in the sale of goods, provision of processing services, repairs and replacement services, sales services, intangible assets, real estate and the importation of goods are required to pay VAT at the rate of 17%,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on Adjusting Value-added Tax Rates, which was promulgated by the MOF and the State Administration of Taxation, or the SAT, on April 4, 2018 and became effective on May 1, 2018, where a taxpayer engages in a taxable sales activity for the value-added tax purpose or importation of goods, the previous applicable 17% and 11% tax rates are lowered to 16% and 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on Policies to Deepen Value-added Tax Reform, which was promulgated by the MOF, the SAT and the General Administration of Customs on March 20, 2019 and became effective on April 1, 2019, where a taxpayer engages in a taxable sales activity for value-added tax purposes or in the importation of goods, the previously applicable tax rates of 16% and 10% are lowered to 13% and 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25, 2024, the SCNPC promulgated the Value-added Tax Law of the PRC (the “VAT Law”), which became effective on January 1, 2026, and abolished the Interim Regulations on Value-added Tax of the PRC. Pursuant to the VAT Law, entities and individuals (including individual businesses) engaged in the sale of goods, services, intangible assets and immovables and the importation of goods within mainland China are VAT payers and shall pay VAT in accordance with the VAT Law. The VAT rate for sales of goods is 0% under the VAT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VAT rate applicable to our sales of goods by our PRC subsidiary is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EIT Law and its implementation rules, except as otherwise provided by relevant tax treaties with the PRC government, dividends paid by foreign-invested enterprises to foreign investors which are non-resident enterprises and which have not established or operated premises in mainland China, or which have established or operated premises but where their income has no de facto relationship with such establishment or operation of premises shall be subject to a withholding tax of 10%. Pursuant to an Arrangement Between the Mainland of China and the Hong Kong Special Administrative Region for the Avoidance of Double Taxation and the Prevention of Fiscal Evasion with Respect to Taxes on Incomes, where the beneficial owner holds at least 25% of the equity interest of the foreign-invested enterprise, the tax rate may be reduced to 5% upon the distribution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according to the Circular on Issues Relating to “Beneficial Owner” in Tax Treaties, which was issued on February 3, 2018 by the SAT and took effect on April 1, 2018, a “beneficial owner” shall mean a person who has ownership and control over the income, and the rights and property from which the income is derived. When determining the applicant’s status of being a “beneficial owner” regarding tax treatments in connection with dividends, interests or royalties in the tax treaties, a comprehensive analysis shall be conducted taking into account the actual conditions of the specific case. In general, the following factors are unfavorable for the determination of “beneficial owner” status of an applicant: (i) the applicant is obligated to pay 50% or more of the income, within 12 months from its receipt, to a resident of a third country (region), where the term “obligated” includes agreed obligations and de facto payment for which there is no agreed obligation; (ii) the business activities undertaken by the applicant do not constitute substantive business activities; (iii) the treaty counterparty country (region) does not levy, or exempts tax on the relevant income, or levies tax but with a very low actual tax rate; (iv) in addition to the loan contract based on which interest is derived and paid, there exists other loans or deposit contracts between the creditor and the third party, of which factors such as the amount, interest rate and date of execution are similar; and (v) in addition to the transfer contract for rights to use such as copyright, patent, technology, from which the royalties are derived and paid, there exists other transfer contracts for rights to use or ownership in relation to copyright, patent, technology between the applicant and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on the Relevant Issues Concerning the Implementation of Dividend Clauses in Tax Treaties promulgated by the SAT, which became effective on February 20, 2009, all of the following conditions shall be satisfied before the concession tax rate in a tax treaty can be enjoyed: (1) the tax resident obtaining dividends shall be restricted to the company as provided in the tax treaty; (2) among all the ownership equity interests and voting shares of the mainland China resident company, the proportion directly owned by the tax resident complies with the prescribed proportions under the tax treaty; and (3) the proportion of the equity interests of mainland China resident company directly owned by such tax resident complies with, at all times within the twelve months before obtaining the dividends, the proportions specified in the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Announcement on Issuing the Administrative Measures for Entitlement to Treaty Benefits for Non-resident Taxpayers promulgated by the SAT on October 14, 2019 and became effective on January 1, 2020, entitlement to treaty benefits for non-resident taxpayers shall be handled by means of “self-judgment of eligibility, declaration of entitlement, and retention of relevant materials for future reference”. Where non-resident taxpayers judge by themselves that they meet the conditions for entitlement to treaty benefits, they may obtain such entitlement themselves at the time of making tax declarations, or at the time of making withholding declarations via withholding agents. At the same time, they shall collect and retain relevant materials for future reference in accordance with the provisions of these Measures, and shall accept the follow-up administration by the relevant tax authorities. Relevant materials proving the status of “beneficial owner” shall be retained in the case of entitlement to treaty benefits relating to dividend, interest and royalty.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regulations governing foreign currency exchange in mainland China are the Foreign Exchange Administration Regulations, promulgated by the State Council in 1996 and most recently amended in 2008. Under the PRC foreign exchange regulations, payments of current account items, such as profit distributions and trade and service-related foreign exchange transactions, can be made in foreign currencies without prior approval from State Administration of Foreign Exchange, or the SAFE, by complying with certain procedural requirements. By contrast, approval from or registration with appropriate governmental authorities is required where Renminbi is to be converted into foreign currency and remitted out of mainland China to pay capital expenses such as the repayment of foreign currency-denominated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2012, SAFE promulgated the Circular of Further Improving and Adjusting Foreign Exchange Administration Policies on Foreign Direct Investment, or the SAFE Circular 59, and was most recently amended in 2015, which substantially amends and simplifies the current foreign exchange procedures. Pursuant to the SAFE Circular 59, the opening of various special purpose foreign exchange accounts, such as pre-establishment expenses accounts, foreign exchange capital accounts, and guarantee accounts, the reinvestment of Renminbi proceeds derived by foreign investors in mainland China,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2015, SAFE promulgated the Notice on Further Simplifying and Improving the Administration of the Foreign Exchange Concerning Direct Investment, or the SAFE Circular 13, pursuant to which, instead of applying for approval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2015, SAFE issued the Circular of the State Administration of Foreign Exchange on Reforming the Administration of Foreign Exchange Settlement of Capital of Foreign-invested Enterprises, or the SAFE Circular 19, pursuant to which,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In addition,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must first go through domestic re-investment registration and open a corresponding account for foreign exchange settlement pending payment with the foreign exchange administration or the bank at the place where it is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SAFE promulgated the Circular on Reforming and Regulating Policies on the Control over Foreign Exchange Settlement of Capital Accounts, or the SAFE Circular 16, pursuant to which, in addition to foreign currency capital, enterprises registered in mainland China may also convert their foreign debts, as well as repatriated funds raised through overseas listing, from foreign currency to Renminbi on a discretionary basis. SAFE Circular 16 reiterates that the use of capital so converted shall follow “the principle of authenticity and self-use” within the business scope of the enterprise. According to SAFE Circular 16, the Renminbi funds so converted shall not be used, whether directly or indirectly, for the purposes of (i) paying expenditures beyond the business scope of the enterprises or prohibited by laws and regulations; (ii) making securities investment or other investments (except for banks’ principal-secured products); (iii) granting loans to non-affiliated enterprises, except as expressly permitted in the business license; and (iv) purchasing non-self-used real estate (except for the foreign-invested real estate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2017, SAFE promulgated the Circular on Further Improving Reform of Foreign Exchange Administration and Optimizing Genuineness and Compliance Verification, or the SAFE Circular 3, which stipulates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Further, pursuant to the SAFE Circular 3, domestic entities shall make detailed explanations of the sources of capital and utilization arrangements, and provide board resolutions, contracts and other proof when completing the registration procedures in connection with an outbound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2020, SAFE issued the Notice on Optimizing Foreign Exchange Administration to Support the Development of Foreign-related Business, or the SAFE Circular 8, which provides that under the condition that the use of the funds is genuine and compliant with current administrative provisions on use of income relating to capital account, enterprises are allowed to use income under capital account such as capital funds, foreign debts and overseas listings for domestic payment, without submitting to the bank, prior to each transaction, materials evidencing the veracity of such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Dividend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laws and regulations regulating dividend distributions by FIEs in mainland China include the Company Law of the PRC, the Foreign Investment Law and its Implementation Rules, pursuant to which, wholly foreign-owned enterprises in mainland China may pay dividends only out of their accumulated profits, if any, as determined in accordance with relevant PRC accounting standards and regulations, and shall not distribute any profits until any losses from prior fiscal years have been offset. Additionally, these FIEs may not pay dividends unless they set aside at least 10% of their respective accumulated profits after tax each year, if any, to fund certain reserve funds, until the accumulative amount of such fund reaches 50% of the enterprise’s registered capital, these reserves are not distributable as cash dividends. FIEs also may allocate a portion of their after-tax profits based on relevant PRC accounting standards to fund their employee welfare and bonus at their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Related to Foreign Exchange Registration of Offshore Investment by Mainland China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2014, SAFE issued the Circular of the State Administration of Foreign Exchange on Issues concerning Foreign Exchange Administration over the Overseas Investment and Financing and Round-trip Investment by Domestic Residents via Special Purpose Vehicles, or the SAFE Circular 37. The SAFE Circular 37 regulates foreign exchange matters in relation to the use of offshore special purpose vehicles, or “SPVs”, by mainland China residents or entities to seek offshore investment and financing or conduct round-trip investment in mainland China. Under the SAFE Circular 37, an SPV refers to an offshore entity established or controlled, directly or indirectly, by mainland China residents or entities for the purpose of seeking offshore financing or making offshore investment, using legitimate domestic or offshore assets or interests, while “round-trip investment” refers to the direct investment in mainland China by mainland China residents or entities through SPVs, namely, establishing foreign-invested enterprises to obtain ownership, control rights and management rights. SAFE Circular 37 requires that, before making a contribution to an SPV, mainland China residents or entities are required to complete foreign exchange registration with the SAFE or its local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2015, SAFE promulgated the SAFE Circular 13. SAFE Circular 13 amended SAFE Circular 37 by requiring mainland China residents or entities to register with qualified banks instead of the SAFE or its local branch in connection with their establishment of an SPV.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SAFE Circular 37, an amendment to registration or subsequent filing with qualified banks by such mainland China resident is also required if there is a material change with respect to the capital of the offshore company, such as any change of basic information (including change of such mainland China residents, change of name and operation term of the SPV), increases or decreases in investment amount, transfers or exchanges of shares, or mergers or divisions. Failure to comply with the registration requirements as set forth in both the SAFE Circular 37 and the SAFE Circular 13, misrepresentation of, or failure to disclose, controllers of foreign-invested enterprises that are established by round-trip investment may result in bans on the foreign exchange activities of the relevant onshore company, including the payment of dividends and other distributions to its offshore parent company or affiliates, and may also subject relevant mainland China residents to penalties under the Foreign Exchange Administration Regulations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informed of the identities of all the mainland China residents holding a direct or indirect interest in our company, and we have no control over any of our future beneficial owners. Thus, we cannot provide any assurance that our current or future mainland China resident beneficial owners will comply with our request to make or obtain any applicable registrations or continuously comply with all registration procedures set forth in these SAFE rules. See “</w:t>
      </w:r>
      <w:r>
        <w:rPr>
          <w:rFonts w:ascii="Times New Roman;Times;Serif" w:hAnsi="Times New Roman;Times;Serif"/>
          <w:b w:val="false"/>
          <w:i/>
          <w:caps w:val="false"/>
          <w:smallCaps w:val="false"/>
          <w:sz w:val="20"/>
        </w:rPr>
        <w:t>Item 3. Key Information-D. Risk Factors-Risks relating to doing business in China-PRC laws and regulations relating to offshore investment activities by mainland China residents may subject our mainland China resident beneficial owners or our PRC subsidiary to liability or penalties, limit our ability to inject capital into our PRC subsidiary, limit our PRC subsidiary’s ability to increase its registered capital or distribute profits to 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Foreign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offshore holding company, we may make additional capital contributions to our WFOE subject to approval from the local department of market regulation and the SAFE, with no limitation on the amount of capital contributions. We may also make loans to our WFOE subject to the approval of SAFE or its local office and applicable limitations on the amount of such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means of making loans, WFOE is subject to the relevant PRC laws and regulations relating to foreign debts. On January 8, 2003, the NDRC, the SAFE and the MOF jointly promulgated the Circular on the Interim Provisions on the Management of Foreign Debts, or the Foreign Debts Provisions, which became effective on March 1, 2003. Pursuant to the Foreign Debts Provisions, the total amount of foreign loans received by a foreign-invested company shall not exceed the difference between the total investment in projects as approved by the MOFCOM or its local counterpart and the amount of registered capital of such foreign-invested company. In addition, on January 11, 2017, the People’s Bank of China, or the PBOC, issued the Circular on Full-Coverage Macro-Prudent Management of Cross-Border Financing, or the PBOC Circular 9, which sets out the statutory upper limit on the foreign debts for PRC non-financial entities, including both foreign-invested companies and domestic-invested companies. Pursuant to the PBOC Circular 9 and the relevant notices published by the PBOC, the foreign debt upper limit for both foreign-invested companies and domestic-invested companies is currently calculated as 3.5 times the net assets of such companies. As to net assets, the companies shall take the net assets value stated in their latest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PBOC Circular 9 does not supersede the Foreign Debts Provisions. It provides a one-year transitional period from January 11, 2017, for foreign-invested companies, during which foreign-invested companies, such as WFOE, could adopt their calculation method of foreign debt upper limit based on either the Foreign Debts Provisions or the PBOC Circular 9. The transitional period ended on January 11, 2018. Upon its expiry, pursuant to the PBOC Circular 9, the PBOC and the SAFE shall reevaluate the calculation method for foreign-invested companies and determine what the applicable calculation method would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M&amp;A and Overseas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governmental and regulatory agencies, including the MOFCOM and the China Securities Regulatory Commission, or the CSRC, promulgated the Rules on Acquisition of Domestic Enterprises by Foreign Investors, or the M&amp;A Rules, governing the mergers and acquisitions of domestic enterprises by foreign investors, which became effective on September 8, 2006, and were amended on June 22, 2009. The M&amp;A Rules, among other things, require that offshore SPVs that are controlled by mainland China companies or individuals and that have been formed for overseas listing purposes through acquisitions of mainland China domestic interests held by such companies or individuals shall obtain the approval of the CSRC prior to publicly listing their securities on an overseas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counsel, JT&amp;N, has advised us that, based on its understanding of current PRC laws, rules and regulations, and the M&amp;A Rules, CSRC approval was not required in the context of our IPO, or any follow-on offerings, given that: (i) CCSC Interconnect DG was established by means of direct investment rather than by merger with or acquisition of any mainland China domestic companies as defined under the M&amp;A Rules, and (ii) no explicit provision in the M&amp;A Rules classifies a share structure such as ours as falling within the scope of the M&amp;A Rules. Notwithstanding the foregoing, our PRC counsel, JT&amp;N, has further advised us that uncertainties exist as to how the M&amp;A Rules will be interpreted and implemented, and such opinions summarized above are subject to any new laws, rules and regulations or detailed implementations and interpretations in any form relating to the M&amp;A Rules. If the CSRC or other PRC regulatory agencies subsequently determine that prior CSRC approvals were required in connection with our IPO, we may face regulatory actions or other sanctions from the CSRC or other PRC regulatory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Measures and relevant supporting guidelines, which came into effect on March 31, 2023. Pursuant to the Trial Measures, a PRC domestic company that seeks to offer or list securities overseas, both by direct and indirect means, shall submit the filing materials with the CSRC as required by the Trial Measures within three (3) business days following its submission of an application with oversea securities regulatory authorities for its IPO or listing. Further, such a PRC domestic company shall report to the CSRC within three business days upon the completion of any follow-on offerings. If the PRC domestic company fails to complete required filing procedures, conceals any material fact or falsifies any major content in its filing materials, such PRC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Measures outline the circumstances where PRC domestic companies are prohibited from offering and listing securities overseas, if such overseas offering and listing made by domestic companies (i) are explicitly prohibited by laws; (ii) may endanger national security as determined by relevant competent departments under the State Council; (iii) involve criminal offenses that disrupting PRC economy such as corruption, bribery, embezzlement, or misappropriation of property by such domestic company, the controlling shareholder, and/or actual controller in the recent three years; (iv) involve such domestic company in investigations for suspicion of criminal offenses or major violations of laws and regulations; or (v) involve material ownership disputes over the shares held by the controlling shareholder or by other shareholders that are controlled by the controlling shareholder and/or actual controller. We believe that our application for our offering and listing on Nasdaq does not fall under the aforementioned circumstances that prohibit such overseas listing under the Trial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according to the CSRC Notice issued by the CSRC on February 17, 2023, beginning on March 31, 2023, PRC domestic companies that had submitted valid applications for overseas offering and listing but had not obtained approval from overseas regulatory authorities or overseas stock exchanges were required to complete the required filing procedures with the CSRC prior to the completion of their overseas offerings and listing. In compliance with the Trial Measures, we submitted our filing materials relating to our IPO to the CSRC on August 31, 2023, and were informed by the CSRC in writing on November 6, 2023 that we did not fall within the scope of the filing requirements at such time. Based on such notice from the CSRC, we believe we are not required to undertake the relevant filing and reporting requirements as stipulated in the Trial Measures. However, we cannot assure you that we will not become subject to the filing requirements under the Trial Measures in the future, if the CSRC issues any further guidelines that otherwise subject us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together with the Ministry of Finance, the National Administration of State Secrets Protection and National Archives Administration of China, revised the Provisions on Strengthening Confidentiality and Archives Administration for Overseas Securities Offering and Listing, which were issued by the CSRC and National Administration of State Secrets Protection and National Archives Administration of China in 2009, or the Provisions.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PRC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PRC domestic company that plans to, either directly or indirectly through its overseas listed entity, publicly disclose or provide to relevant individuals or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us and our subsidiaries to comply with the above confidentiality and archives administration requirements under the revised Provisions and other PRC laws and regulations may result in the relevant entities being held legally liable by competent authorities, and referred to the judicial organ to be investigated for criminal liability if suspected of committing a crime.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laws and regulations issued by the PRC authorities may subject us to additional compliance requirements. We cannot assure you that we will be able to comply with all the new regulatory requirements under the Trial Measures, the revised Provisions, or any future implementing rules on a timely basis, or at all. Any failure by us to fully comply with the new regulatory requirements may significantly limit or completely hinder our ability to offer or continue to offer our Class A Ordinary Shares, cause significant disruption to our business operations, and severely damage our reputation, which would materially and adversely affect our financial condition and results of operations and cause our Class A Ordinary Shares to significantly decline in value or become worthless. See “</w:t>
      </w:r>
      <w:r>
        <w:rPr>
          <w:rFonts w:ascii="Times New Roman;Times;Serif" w:hAnsi="Times New Roman;Times;Serif"/>
          <w:b w:val="false"/>
          <w:i/>
          <w:caps w:val="false"/>
          <w:smallCaps w:val="false"/>
          <w:sz w:val="20"/>
        </w:rPr>
        <w:t>Item 3. Key Information-D. Risk Factors-Risks relating to doing business in China-The CSRC’s Listing Rules and other relevant rules promulgated by the CSRC may subject us to additional compliance requirements in the future.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Hong Kong subsidiary, CCSC Interconnect HK, engages in the trading of electronic products and is subject to relevant Hong Kong laws and regulations. This section sets forth a summary of the principal laws and regulations that are applicable to our business operations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Registration Ordinance (Chapter 310 of the Laws of Hong Kong) requires every entity which carries on a business in Hong Kong to apply for business registration and to display the valid business registration certificate at the place of business. Any person who fails to apply for business registration or display a valid business registration certificate at the place of business shall be guilty of an offence and shall be liable to a fine of HK$5,000 and to imprisonment for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 and Export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4 and 5 of the Import and Export (Registration) Regulations (Chapter 60E of the Laws of Hong Kong) (the “IAE Registration Regulations”) provide that every person who imports or exports any article other than an exempted article shall lodge an accurate and complete import or export declaration relating to such article using the specified system, in accordance with the requirements that the Commissioner of Customs and Excise may specify, within 14 days after the importation and exportation of the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failing to lodge such declaration within 14 days after the importation or exportation without reasonable excuse is liable to a fine of HK$2,000 upon summary conviction and HK$100 for each day on which such declaration has not been lodged. Furthermore, the IAE Registration Regulations also provide that any person who knowingly or recklessly lodges any declaration with the Commissioner of Customs and Excise that is inaccurate in any material particular shall be liable to a fine of HK$10,000 upon summary conviction.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Goods Ordinance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Goods Ordinance (Chapter 26 of the Laws of Hong Kong) (the “Sale of Goods Ordinance”) governs the formation, performance and enforcement of contracts for the sale of goods in Hong Kong and the transfer of title in goods sold. The Sale of Goods Ordinance also sets out certain implied terms or conditions and warranties relating to the safety and suitability of goods supplied under a contract of sale for goods in Hong Kong, including:</w:t>
      </w:r>
    </w:p>
    <w:p>
      <w:pPr>
        <w:pStyle w:val="TextBody"/>
        <w:bidi w:val="0"/>
        <w:spacing w:before="0" w:after="0"/>
        <w:ind w:left="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68"/>
        <w:gridCol w:w="260"/>
        <w:gridCol w:w="890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both"/>
              <w:rPr/>
            </w:pPr>
            <w:r>
              <w:rPr/>
              <w:t>where there is a sale of goods by description, the goods shall correspond with the description;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where the seller sells goods in the course of a business, the goods shall be of a merchantable quality, i.e. (a) as fit for the purpose or purposes for which the goods of that kind are commonly bought; (b) of such standard of appearance and finish; (c) as free from defects (including minor defects); (d) as safe; and (e) as durable, as it is reasonable to expect having regard to any description applied to them, the price (if relevant) and all the other relevant circumstances;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1"/>
        <w:gridCol w:w="9806"/>
      </w:tblGrid>
      <w:tr>
        <w:trPr/>
        <w:tc>
          <w:tcPr>
            <w:tcW w:w="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(iii)</w:t>
            </w:r>
          </w:p>
        </w:tc>
        <w:tc>
          <w:tcPr>
            <w:tcW w:w="9806" w:type="dxa"/>
            <w:tcBorders/>
            <w:vAlign w:val="center"/>
          </w:tcPr>
          <w:p>
            <w:pPr>
              <w:pStyle w:val="TableContents"/>
              <w:bidi w:val="0"/>
              <w:spacing w:before="0" w:after="283"/>
              <w:jc w:val="both"/>
              <w:rPr/>
            </w:pPr>
            <w:r>
              <w:rPr/>
              <w:t>where the seller sells goods in the course of a business and the buyer makes known to the seller (whether expressly or by implication) any particular purpose for which the goods are being bought, the goods supplied under the contract shall be reasonably fit for that purpose.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of the Sale of Goods Ordinance provides that where a seller is in breach of a warranty, the buyer is not entitled, solely on that basis, to reject the goods. Instead, the buyer may either rely on the breach of warranty to reduce or extinguish the price payable, or bring an action against the seller for damages for such breach of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 Descriptions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Trade Descriptions Ordinance (Chapter 362 of the Laws of Hong Kong) (“TDO”) seeks to prohibit false trade descriptions, misleading, false or incomplete information, false marks and misstatements in relation to goods and services supplied in the course of trade. Under Section 2 of the TDO, the definition of a trade description is broad and includes,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references to quantity, method of manufacture, composition, fitness for purpose, availability, compliance with a standard specified or recognized by any person, price, approval by any person, a person by whom they have been acquired, the goods being of same kind as goods supplied to a person, place or date of manufacture, etc. Section 2 further provides that a trade description which is false to a material degree, or which, though not strictly false, is misleading such that it is likely to be taken as a materially false description, will be regarded as a false trade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of TDO makes it an offence for any person who, in the course of any trade or business, applies a false trade description to any goods or supplies or offer to supply any goods to which a false description is applied. Section 7A extends this prohibition to services, making it an offence for a trader to apply a false trade description to a service supplied or offered to a consumer, or to supply or offer such a service. In addition, Section 12 prohibits the import or export of goods to which a false trade description or a forged trademark has been applied. Sections 13E, 13F, 13G, 13H and 13I of TDO provide that a trader commits an offence if the trader engages, in relation to a consumer, in a commercial practice that is a misleading omission, or is aggressive, or constitutes bait advertising, or constitutes a bait and switch, or wrongly accepting payment for a product. Any person who commits an offence under Sections 7, 7A, 13E, 13F, 13G, 13H or 13I shall be liable, on conviction on indictment, to a fine of HK$500,000 and to imprisonment for 5 years, and on summary conviction, to a level 6 fine of HK$100,000 and imprisonment for 2 years. However, Sections 30L and 30M empower an officer authorized by the Commissioner of Customs and Excise, with the written consent of the Secretary for Justice, to accept a written undertaking from a business or individual not to continue, repeat or engage in conduct constituting an offence under the TDO. Upon acceptance of such an undertaking, neither the Commissioner of Customs and Excise nor the authorized officer may commence or continue an investigation or proceedings in respect of the matter to which the said undertaking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Inland Revenue Ordinance (Chapter 112 of the Laws of Hong Kong) (“IRO”) is an ordinance that regulates taxes on property, earnings and profits in Hong Kong. The IRO provides, among others, that persons, which include corporations, partnerships, trustees and bodies of persons, carrying on any trade, profession or business in Hong Kong are liable for tax on all profits (excluding profits arising from the sale of capital assets) arising in or derived from Hong Kong from such trade, profession or business. As of the date of this annual report, the standard profits tax rate for corporations is 8.25% on assessable profits up to HK$2,000,000 and 16.5% on any part of assessable profits over HK$2,000,000. The IRO also contains provisions relating to, among others, permissible deductions for outgoings and expenses, set-offs for losses and allowances for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20A of the IRO gives the Inland Revenue Department of Hong Kong (the “IRD”) wide powers to collect tax due from non-residents. The IRD may also make transfer pricing adjustments by disallowing expenses incurred by Hong Kong residents under sections 16(1), 17(1)(b) and 17(1)(c) of the IRO and make additional assessments under section 60 of the IRO. The IRD may also challenge the entire arrangement under general anti-avoidance provisions according to sections 61 and 61A of the IRO.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Inland Revenue (Amendment) (No. 6) Ordinance 2018 (the “Amendment Ordinance”) codifies the transfer pricing principles in relation to how the pricing for the supply of goods and services between associated parties should be determined and implemented. Departmental Interpretation and Practice Notes Nos. 45, 46, 48, 58, 59 and 60 issued by IRD set out its interpretations and practices in relation to transfer pricing and related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Amendment Ordinance, a person who have a Hong Kong tax advantage if taxed on the basis of a non-arm’s length provision (the “Advantaged Person”) will have income adjusted upwards or loss adjusted downwards. Section 50AAF of the IRO stipulates that the Advantaged Person’s income or loss is to be computed as if arm’s length provision had been made or imposed instead of the actual provision. If the Advantaged Person fails to prove to the satisfaction of the assessor of the IRD that the person’s income or loss as stated in the person’s tax return is the arm’s length amount, the assessor of the IRD must estimate an amount as the arm’s length amount and, taking into account the estimated amount, (a) make an assessment or additional assessment on the person, or (b) issue a computation of loss, or revise a computation of loss resulting in a smaller amount of computed loss, in respect of that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Ordinance introduces a mandatory “three-tiered” transfer pricing documentation requirement in Hong Kong consisting of (a) Master File; (b) Local File; and (c) Country-by-country Report. The Amendment Ordinance provides two types of exemptions to entities that engage in transactions with associated enterprises from preparing Master File and Local File. In terms of size-based business exemption thresholds, a Hong Kong taxpayer meeting any two of the following three size-based business exemption thresholds for an accounting period is exempted from preparing the Master File and Local File for that accounting period: (a) Total annual revenue not exceeding HK$400 million; (b) Total value of assets not exceeding HK$300 million; or (c) Average number of employees not exceeding 100. In terms of volume-based related party transactions exemption thresholds, the threshold per accounting period for transfer of property (whether movable or immovable but excluding financial assets and intangible assets) is HK$220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Ordinance (Chapter 57 of the Laws of Hong Kong) (“EO”) provides basic employment protections to all employees, including but not limited to payment of wages, restrictions on wage deductions and the granting of statutory holidays.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Mandatory Provident Fund Schemes Ordinance (Chapter 485 of the Laws of Hong Kong) (“MPFSO”) provides that every employer must take all practicable steps to ensure that each employee is covered under a Mandatory Provident Fund (MPF) scheme. An employer who fails to comply with such a requirement may face a fine and imprisonment. The MPFSO provides that an employer shall, for each contribution period, from the employer’s own funds, contribute to the relevant MPF scheme the amount determined in accordance with the MPFSO.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Employees’ Compensation Ordinance (Chapter 282 of the Laws of Hong Kong) (“ECO”) provides that all employers are required to take out insurance policies to cover their liabilities under the ECO and common law for injuries at workplace for all of their employees. An employer failing to do so may be liable to a fine and imprisonment.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prescribed minimum hourly wage rate (currently set at HK$43.1 per hour) for every employee is governed by the Minimum Wage Ordinance (Chapter 608 of the Laws of Hong Kong) (the “MWO”). Section 15 of the MWO provides that any provision of an employment contract which purports to extinguish or reduce the right, benefit or protection conferred on the employee under the MWO is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Organizational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annual report. For more detail on our corporate history please refer to “—A.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848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00" cy="38481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Property, Plants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 Business Overview-Properties and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financial statements and the related notes included elsewhere in this annual report. This discussion contains forward-looking statements reflecting our current expectations that involve risks and uncertainties. See “SPECIAL NOTE REGARDING FORWARD-LOOKING STATEMENTS” for a discussion of the uncertainties, risks and assumptions associated with these statements. Actual results and the timing of events could differ materially from those discussed in our forward-looking statements as a result of many factors, including those set forth under “Item 3. Key Information—D. Risk Factors” and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As a holding company with no material operations of its own, we conduct our operations through direct wholly-owned operating subsidiaries established in Hong Kong, mainland China, the Netherlands, and Serbia, primarily in the sale, design, and manufacturing of interconnect products, including connectors, cables, and wire harnesses. We specialize in customized interconnect products that are used for a range of applications in a diversified set of industries, including industrial, automotive, robotics, medical equipment, computer, network and telecommunication, and consumer products. We have a diversified global customer base located in more than 25 countries throughout Europe, Asia and the Americas. Many of our customers are global name-brand manufacturers, such as Universal Robots, Linak A/S, Flextronics, Maersk, Danfoss, Bitzer, Fideltronic and Vtech, with whom we have established long-term working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continuous effort to meet various international production and quality manufacturing standards, we have been certified by the ISO, specifically as to the following: ISO 9001 (quality management), 14001 (environment management), 45001 (occupational health and safety), and 13485 (medical devices quality management). In addition, we have also been certified to the IATF 16949, which is a technical specification for quality management systems in the automotive sector established by the International Automotive Task 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commenced construction of a new European supply chain management center in Merosina, Serbia, which further expands our regional footprint, mitigates regional supply chain risks, and strengthens customer retention and market expansion. The construction project is expected to be completed and ready for operational use in December 2026. We launched eNaviX, a dedicated carbon footprint and energy management system for SMEs featuring patented sustainable cooling architectures, which helps clients standardize ESG reporting, control compliance risks and capture carbon credit benefits. Meanwhile, we acquired an intelligent logistics simulation system and a smart manufacturing platform, which are designed to jointly optimize supply chain planning, inventory management and production processes. These technological enhancements improve operational efficiency, reduce operating costs, enhance product precision and production yields, and we believe they create distinct competitive advantages for 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2026, 2025, and 2024, we had total revenue of US$17.30 million, US$17.63 million, and US$14.75 million, respectively, and net loss of US$4.81 million, US$1.41 million and US$1.30 million, respectively. Revenue derived from cables and wire harnesses accounted for approximately 92.4%, 92.9%, and 92.4% of our total revenue for those fiscal years, respectively. Revenue derived from connectors accounted for approximately 7.6%, 7.1%, and 7.6% of our total revenue for those fiscal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2026, 2025, and 2024, approximately 52.6%, 60.6%, and 61.6% of our revenue was generated from our top ten customers,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primarily derived from sales of both original equipment manufacturer (“OEM”) and original design manufacture (“ODM”) interconnect products — including connectors, cables and wire harnesses — which we sell to manufacturing companies and electronic manufacturing services (“EMS”) companies in Europe, Asia, and the Americas. Our performance and business outlook are influenced by the following major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control the costs of raw materials and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the components we source from suppliers are largely dependent on market forces, such as fluctuations in commodity prices, raw material prices, market supply and demand, and logistics and transport costs. Because the cost of components represents over 65% of our total cost of sales, changes in component costs directly affect our gross margins. Increases in the market price of components typically enable us to raise our selling prices. As our business further grows in scale, we expect to have greater bargaining power and, hence, more favorable terms, including pricing and payment terms, for the sourcing of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Impact of foreign exchange fluctuation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operate internationally, we sometimes purchase products and services in currencies other than those in which we normally conduct our operations. If the exchange rates for such currencies fluctuate in a manner that is unfavorable to us, our cost of sales may increase and we may be unable to pass on such increases to our customers, which could have an adverse effect on our financial performance. Currency exchange rates may fluctuate significantly in the future, which could have a material effect on our results of operations, financial position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retain existing customers and attract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interconnect product market is highly competitive. We compete on the basis of several factors, including value for money, user experience, breadth of product and service offerings, product functionality and quality, sales and distribution capabilities, supply chain management, and customer loyalty. Factors that may affect our ability to meet customer demands and attract new customers include our ability to (i) design and manufacture products from the perspective of our customers in terms of raw material selection, functional and structural specifications, and technical requirements; (ii) invest in branding, sales and marketing efforts to acquire new customers and maintain long-term business relationships with our key customers; and (iii) attract potential customers through participation in global industry exhibitions, such as the Electronica trade fair.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technological innovation and product upgrading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continuously invest in technological innovation and product development to enhance our core competitiveness, address our customers’ evolving requirements, and support sustainable business growth. Our ongoing research and development investments and strategic technology acquisitions are designed to optimize our product portfolio, production processes and operational efficiency, which we believe are critical to our market performance and long-term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Wars and Geopolitical 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Persistent geopolitical tensions and military hostilities between the United States and Iran have historically contributed to prolonged uncertainty across the Middle East. Escalating confrontations, U.S. sanctions expansion, and sustained security disruptions at the Strait of Hormuz — a critical global energy shipping chokepoint — have repeatedly triggered sharp volatility in global crude oil prices, heightened inflationary pressures, and intensified fluctuations in global equity and credit markets. In June 2026, the United States and Iran signed a 14-point framework agreement establishing an immediate ceasefire and lifting naval blockades in the Strait of Hormuz. The framework agreement initiates a 60-day period for negotiating a permanent peace treaty, addressing nuclear concerns, and planning economic reconstruction. While this development represents a significant step toward de-escalation, the framework agreement remains subject to the successful conclusion of permanent peace treaty negotiations, and there can be no assurance that such negotiations will result in a definitive resolution. We cannot predict the ultimate outcome of the ongoing negotiation process, nor the scope of sanctions, military and policy measures that may be implemented or modified by governments and international authorities in response to evolving circumstances. Any failure to reach a permanent peace treaty, a resumption of hostilities, or a re-imposition of sanctions or naval blockades could increase our operating and logistics costs, disrupt global supply chains, weaken market demand and liquidity, and result in adverse exchange rate and asset valuation movements, any of which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Escalating Trade Tensions and Impacts of Tariff Policy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there have been heightened tensions in international relations, particularly between the United States and China. Since 2025, the U.S. government has imposed and modified tariffs and other trade measures affecting imports from various countries and regions, including China, Canada, Mexico, and certain other jurisdictions. In response, certain countries have imposed, or may impose, reciprocal tariffs, trade restrictions, or other retaliatory measures. Additional tariff actions, sector-specific measures, or changes in trade policy may be implemented in the future. While our products are sold globally, our business and operating results have been and will continue to be affected by the total tariff tensions, we remain alert to the potential indirect impacts of evolving trade policies. For instance, increased costs borne by our customers, particularly those with international exposure, could be passed on to us, potentially affecting our revenue and operating margins. The current trade environment is characterized by rapid and unpredictable changes in tariffs and regulations, making long-term planning more challenging. In response, we are strengthening collaboration with our customers and suppliers, evaluating alternative technology solutions, and enhancing the flexibility of our operational model to better respond to external disruptions. While these measures are designed to mitigate potential impacts, there can be no assurance that they will fully shield us from the broader effects of ongoing trade policy shifts. We will continue to monitor developments closely and adapt our business strategy as needed to maintain operational stability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Results of Operations for the Fiscal Years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3"/>
        <w:gridCol w:w="90"/>
        <w:gridCol w:w="204"/>
        <w:gridCol w:w="1454"/>
        <w:gridCol w:w="150"/>
        <w:gridCol w:w="107"/>
        <w:gridCol w:w="204"/>
        <w:gridCol w:w="1454"/>
        <w:gridCol w:w="125"/>
        <w:gridCol w:w="90"/>
        <w:gridCol w:w="170"/>
        <w:gridCol w:w="1085"/>
        <w:gridCol w:w="125"/>
        <w:gridCol w:w="90"/>
        <w:gridCol w:w="90"/>
        <w:gridCol w:w="890"/>
        <w:gridCol w:w="174"/>
      </w:tblGrid>
      <w:tr>
        <w:trPr/>
        <w:tc>
          <w:tcPr>
            <w:tcW w:w="370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5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4" w:type="dxa"/>
            <w:tcBorders/>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4" w:type="dxa"/>
            <w:tcBorders/>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3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Net revenue</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17,302,744</w:t>
            </w:r>
          </w:p>
        </w:tc>
        <w:tc>
          <w:tcPr>
            <w:tcW w:w="15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17,631,489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(328,745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(1.9</w:t>
            </w:r>
          </w:p>
        </w:tc>
        <w:tc>
          <w:tcPr>
            <w:tcW w:w="174" w:type="dxa"/>
            <w:tcBorders/>
            <w:shd w:fill="CCEEFF" w:val="clear"/>
            <w:vAlign w:val="center"/>
          </w:tcPr>
          <w:p>
            <w:pPr>
              <w:pStyle w:val="TableContents"/>
              <w:bidi w:val="0"/>
              <w:spacing w:before="0" w:after="283"/>
              <w:jc w:val="left"/>
              <w:rPr/>
            </w:pPr>
            <w:r>
              <w:rPr/>
              <w:t>)</w:t>
            </w:r>
          </w:p>
        </w:tc>
      </w:tr>
      <w:tr>
        <w:trPr/>
        <w:tc>
          <w:tcPr>
            <w:tcW w:w="37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Cost of revenue</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CCEEFF" w:val="clear"/>
            <w:tcMar>
              <w:bottom w:w="28" w:type="dxa"/>
            </w:tcMar>
            <w:vAlign w:val="center"/>
          </w:tcPr>
          <w:p>
            <w:pPr>
              <w:pStyle w:val="TableContents"/>
              <w:bidi w:val="0"/>
              <w:spacing w:before="0" w:after="283"/>
              <w:jc w:val="right"/>
              <w:rPr/>
            </w:pPr>
            <w:r>
              <w:rPr/>
              <w:t>(12,238,334</w:t>
            </w:r>
          </w:p>
        </w:tc>
        <w:tc>
          <w:tcPr>
            <w:tcW w:w="150"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CCEEFF" w:val="clear"/>
            <w:tcMar>
              <w:bottom w:w="28" w:type="dxa"/>
            </w:tcMar>
            <w:vAlign w:val="center"/>
          </w:tcPr>
          <w:p>
            <w:pPr>
              <w:pStyle w:val="TableContents"/>
              <w:bidi w:val="0"/>
              <w:spacing w:before="0" w:after="283"/>
              <w:jc w:val="right"/>
              <w:rPr/>
            </w:pPr>
            <w:r>
              <w:rPr/>
              <w:t>(12,647,287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408,953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(3.2</w:t>
            </w:r>
          </w:p>
        </w:tc>
        <w:tc>
          <w:tcPr>
            <w:tcW w:w="174" w:type="dxa"/>
            <w:tcBorders/>
            <w:shd w:fill="CCEEFF" w:val="clear"/>
            <w:vAlign w:val="center"/>
          </w:tcPr>
          <w:p>
            <w:pPr>
              <w:pStyle w:val="TableContents"/>
              <w:bidi w:val="0"/>
              <w:spacing w:before="0" w:after="283"/>
              <w:jc w:val="left"/>
              <w:rPr/>
            </w:pPr>
            <w:r>
              <w:rPr/>
              <w:t>)</w:t>
            </w:r>
          </w:p>
        </w:tc>
      </w:tr>
      <w:tr>
        <w:trPr/>
        <w:tc>
          <w:tcPr>
            <w:tcW w:w="3703" w:type="dxa"/>
            <w:tcBorders/>
            <w:vAlign w:val="center"/>
          </w:tcPr>
          <w:p>
            <w:pPr>
              <w:pStyle w:val="TableContents"/>
              <w:bidi w:val="0"/>
              <w:spacing w:before="0" w:after="283"/>
              <w:jc w:val="left"/>
              <w:rPr>
                <w:b/>
              </w:rPr>
            </w:pPr>
            <w:r>
              <w:rPr>
                <w:b/>
              </w:rPr>
              <w:t>Gross profit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b/>
              </w:rPr>
            </w:pPr>
            <w:r>
              <w:rPr>
                <w:b/>
              </w:rPr>
              <w:t>5,064,410</w:t>
            </w:r>
          </w:p>
        </w:tc>
        <w:tc>
          <w:tcPr>
            <w:tcW w:w="15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b/>
              </w:rPr>
            </w:pPr>
            <w:r>
              <w:rPr>
                <w:b/>
              </w:rPr>
              <w:t>4,984,202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80,208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1.6</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b/>
              </w:rPr>
            </w:pPr>
            <w:r>
              <w:rPr>
                <w:b/>
              </w:rPr>
              <w:t>Operating expenses: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(2,216,650</w:t>
            </w:r>
          </w:p>
        </w:tc>
        <w:tc>
          <w:tcPr>
            <w:tcW w:w="150"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(1,695,217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(521,433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30.8</w:t>
            </w:r>
          </w:p>
        </w:tc>
        <w:tc>
          <w:tcPr>
            <w:tcW w:w="174" w:type="dxa"/>
            <w:tcBorders/>
            <w:shd w:fill="CCEEFF" w:val="clear"/>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(4,606,701</w:t>
            </w:r>
          </w:p>
        </w:tc>
        <w:tc>
          <w:tcPr>
            <w:tcW w:w="150"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(4,601,637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(5,064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0.1</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CCEEFF" w:val="clear"/>
            <w:tcMar>
              <w:bottom w:w="28" w:type="dxa"/>
            </w:tcMar>
            <w:vAlign w:val="center"/>
          </w:tcPr>
          <w:p>
            <w:pPr>
              <w:pStyle w:val="TableContents"/>
              <w:bidi w:val="0"/>
              <w:spacing w:before="0" w:after="283"/>
              <w:jc w:val="right"/>
              <w:rPr/>
            </w:pPr>
            <w:r>
              <w:rPr/>
              <w:t>(1,699,630</w:t>
            </w:r>
          </w:p>
        </w:tc>
        <w:tc>
          <w:tcPr>
            <w:tcW w:w="150"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CCEEFF" w:val="clear"/>
            <w:tcMar>
              <w:bottom w:w="28" w:type="dxa"/>
            </w:tcMar>
            <w:vAlign w:val="center"/>
          </w:tcPr>
          <w:p>
            <w:pPr>
              <w:pStyle w:val="TableContents"/>
              <w:bidi w:val="0"/>
              <w:spacing w:before="0" w:after="283"/>
              <w:jc w:val="right"/>
              <w:rPr/>
            </w:pPr>
            <w:r>
              <w:rPr/>
              <w:t>(654,039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(1,045,591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159.9</w:t>
            </w:r>
          </w:p>
        </w:tc>
        <w:tc>
          <w:tcPr>
            <w:tcW w:w="174" w:type="dxa"/>
            <w:tcBorders/>
            <w:shd w:fill="CCEEFF" w:val="clear"/>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b/>
              </w:rPr>
            </w:pPr>
            <w:r>
              <w:rPr>
                <w:b/>
              </w:rPr>
              <w:t>Total operating expenses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b/>
              </w:rPr>
            </w:pPr>
            <w:r>
              <w:rPr>
                <w:b/>
              </w:rPr>
              <w:t>(8,522,981</w:t>
            </w:r>
          </w:p>
        </w:tc>
        <w:tc>
          <w:tcPr>
            <w:tcW w:w="150" w:type="dxa"/>
            <w:tcBorders/>
            <w:vAlign w:val="center"/>
          </w:tcPr>
          <w:p>
            <w:pPr>
              <w:pStyle w:val="TableContents"/>
              <w:bidi w:val="0"/>
              <w:spacing w:before="0" w:after="283"/>
              <w:jc w:val="left"/>
              <w:rPr>
                <w:b/>
              </w:rPr>
            </w:pPr>
            <w:r>
              <w:rPr>
                <w:b/>
              </w:rPr>
              <w:t>)</w:t>
            </w:r>
          </w:p>
        </w:tc>
        <w:tc>
          <w:tcPr>
            <w:tcW w:w="10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b/>
              </w:rPr>
            </w:pPr>
            <w:r>
              <w:rPr>
                <w:b/>
              </w:rPr>
              <w:t>(6,950,893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(1,572,088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b/>
              </w:rPr>
            </w:pPr>
            <w:r>
              <w:rPr>
                <w:b/>
              </w:rPr>
              <w:t>22.6</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b/>
              </w:rPr>
            </w:pPr>
            <w:r>
              <w:rPr>
                <w:b/>
              </w:rPr>
              <w:t>Loss from operations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b/>
              </w:rPr>
            </w:pPr>
            <w:r>
              <w:rPr>
                <w:b/>
              </w:rPr>
              <w:t>(3,458,571</w:t>
            </w:r>
          </w:p>
        </w:tc>
        <w:tc>
          <w:tcPr>
            <w:tcW w:w="150" w:type="dxa"/>
            <w:tcBorders/>
            <w:vAlign w:val="center"/>
          </w:tcPr>
          <w:p>
            <w:pPr>
              <w:pStyle w:val="TableContents"/>
              <w:bidi w:val="0"/>
              <w:spacing w:before="0" w:after="283"/>
              <w:jc w:val="left"/>
              <w:rPr>
                <w:b/>
              </w:rPr>
            </w:pPr>
            <w:r>
              <w:rPr>
                <w:b/>
              </w:rPr>
              <w:t>)</w:t>
            </w:r>
          </w:p>
        </w:tc>
        <w:tc>
          <w:tcPr>
            <w:tcW w:w="10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b/>
              </w:rPr>
            </w:pPr>
            <w:r>
              <w:rPr>
                <w:b/>
              </w:rPr>
              <w:t>(1,966,691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(1,491,880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b/>
              </w:rPr>
            </w:pPr>
            <w:r>
              <w:rPr>
                <w:b/>
              </w:rPr>
              <w:t>75.9</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b/>
              </w:rPr>
            </w:pPr>
            <w:r>
              <w:rPr>
                <w:b/>
              </w:rPr>
              <w:t>Other (loss)/ income:</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Foreign currency exchange (loss)/income, net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(419,431</w:t>
            </w:r>
          </w:p>
        </w:tc>
        <w:tc>
          <w:tcPr>
            <w:tcW w:w="150"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67,395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(486,826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(722.3</w:t>
            </w:r>
          </w:p>
        </w:tc>
        <w:tc>
          <w:tcPr>
            <w:tcW w:w="174" w:type="dxa"/>
            <w:tcBorders/>
            <w:shd w:fill="CCEEFF" w:val="clear"/>
            <w:vAlign w:val="center"/>
          </w:tcPr>
          <w:p>
            <w:pPr>
              <w:pStyle w:val="TableContents"/>
              <w:bidi w:val="0"/>
              <w:spacing w:before="0" w:after="283"/>
              <w:jc w:val="left"/>
              <w:rPr/>
            </w:pPr>
            <w:r>
              <w:rPr/>
              <w:t>)</w:t>
            </w:r>
          </w:p>
        </w:tc>
      </w:tr>
      <w:tr>
        <w:trPr/>
        <w:tc>
          <w:tcPr>
            <w:tcW w:w="3703" w:type="dxa"/>
            <w:tcBorders/>
            <w:vAlign w:val="center"/>
          </w:tcPr>
          <w:p>
            <w:pPr>
              <w:pStyle w:val="TableContents"/>
              <w:bidi w:val="0"/>
              <w:spacing w:before="0" w:after="283"/>
              <w:jc w:val="left"/>
              <w:rPr/>
            </w:pPr>
            <w:r>
              <w:rPr/>
              <w:t>Financial and interest (loss)/income, net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(21,962</w:t>
            </w:r>
          </w:p>
        </w:tc>
        <w:tc>
          <w:tcPr>
            <w:tcW w:w="150"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10,538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(32,500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(308.4</w:t>
            </w:r>
          </w:p>
        </w:tc>
        <w:tc>
          <w:tcPr>
            <w:tcW w:w="174" w:type="dxa"/>
            <w:tcBorders/>
            <w:vAlign w:val="center"/>
          </w:tcPr>
          <w:p>
            <w:pPr>
              <w:pStyle w:val="TableContents"/>
              <w:bidi w:val="0"/>
              <w:spacing w:before="0" w:after="283"/>
              <w:jc w:val="left"/>
              <w:rPr/>
            </w:pPr>
            <w:r>
              <w:rPr/>
              <w:t>)</w:t>
            </w:r>
          </w:p>
        </w:tc>
      </w:tr>
      <w:tr>
        <w:trPr/>
        <w:tc>
          <w:tcPr>
            <w:tcW w:w="3703" w:type="dxa"/>
            <w:tcBorders/>
            <w:shd w:fill="CCEEFF" w:val="clear"/>
            <w:vAlign w:val="center"/>
          </w:tcPr>
          <w:p>
            <w:pPr>
              <w:pStyle w:val="TableContents"/>
              <w:bidi w:val="0"/>
              <w:spacing w:before="0" w:after="283"/>
              <w:jc w:val="left"/>
              <w:rPr/>
            </w:pPr>
            <w:r>
              <w:rPr/>
              <w:t>Government subsidy</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w:t>
            </w:r>
          </w:p>
        </w:tc>
        <w:tc>
          <w:tcPr>
            <w:tcW w:w="15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207,257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(207,257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(100.0</w:t>
            </w:r>
          </w:p>
        </w:tc>
        <w:tc>
          <w:tcPr>
            <w:tcW w:w="174" w:type="dxa"/>
            <w:tcBorders/>
            <w:shd w:fill="CCEEFF" w:val="clear"/>
            <w:vAlign w:val="center"/>
          </w:tcPr>
          <w:p>
            <w:pPr>
              <w:pStyle w:val="TableContents"/>
              <w:bidi w:val="0"/>
              <w:spacing w:before="0" w:after="283"/>
              <w:jc w:val="left"/>
              <w:rPr/>
            </w:pPr>
            <w:r>
              <w:rPr/>
              <w:t>)</w:t>
            </w:r>
          </w:p>
        </w:tc>
      </w:tr>
      <w:tr>
        <w:trPr/>
        <w:tc>
          <w:tcPr>
            <w:tcW w:w="3703" w:type="dxa"/>
            <w:tcBorders/>
            <w:vAlign w:val="center"/>
          </w:tcPr>
          <w:p>
            <w:pPr>
              <w:pStyle w:val="TableContents"/>
              <w:bidi w:val="0"/>
              <w:spacing w:before="0" w:after="283"/>
              <w:jc w:val="left"/>
              <w:rPr/>
            </w:pPr>
            <w:r>
              <w:rPr/>
              <w:t>Other non-operating income, net</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tcMar>
              <w:bottom w:w="28" w:type="dxa"/>
            </w:tcMar>
            <w:vAlign w:val="center"/>
          </w:tcPr>
          <w:p>
            <w:pPr>
              <w:pStyle w:val="TableContents"/>
              <w:bidi w:val="0"/>
              <w:spacing w:before="0" w:after="283"/>
              <w:jc w:val="right"/>
              <w:rPr/>
            </w:pPr>
            <w:r>
              <w:rPr/>
              <w:t>55,968</w:t>
            </w:r>
          </w:p>
        </w:tc>
        <w:tc>
          <w:tcPr>
            <w:tcW w:w="15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tcMar>
              <w:bottom w:w="28" w:type="dxa"/>
            </w:tcMar>
            <w:vAlign w:val="center"/>
          </w:tcPr>
          <w:p>
            <w:pPr>
              <w:pStyle w:val="TableContents"/>
              <w:bidi w:val="0"/>
              <w:spacing w:before="0" w:after="283"/>
              <w:jc w:val="right"/>
              <w:rPr/>
            </w:pPr>
            <w:r>
              <w:rPr/>
              <w:t>534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55,434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10,380.9</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b/>
              </w:rPr>
            </w:pPr>
            <w:r>
              <w:rPr>
                <w:b/>
              </w:rPr>
              <w:t>Total other (loss)/ income</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b/>
              </w:rPr>
            </w:pPr>
            <w:r>
              <w:rPr>
                <w:b/>
              </w:rPr>
              <w:t>(385,425</w:t>
            </w:r>
          </w:p>
        </w:tc>
        <w:tc>
          <w:tcPr>
            <w:tcW w:w="150" w:type="dxa"/>
            <w:tcBorders/>
            <w:shd w:fill="CCEEFF" w:val="clear"/>
            <w:vAlign w:val="center"/>
          </w:tcPr>
          <w:p>
            <w:pPr>
              <w:pStyle w:val="TableContents"/>
              <w:bidi w:val="0"/>
              <w:spacing w:before="0" w:after="283"/>
              <w:jc w:val="left"/>
              <w:rPr>
                <w:b/>
              </w:rPr>
            </w:pPr>
            <w:r>
              <w:rPr>
                <w:b/>
              </w:rPr>
              <w:t>)</w:t>
            </w:r>
          </w:p>
        </w:tc>
        <w:tc>
          <w:tcPr>
            <w:tcW w:w="10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b/>
              </w:rPr>
            </w:pPr>
            <w:r>
              <w:rPr>
                <w:b/>
              </w:rPr>
              <w:t>285,724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(671,149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rPr>
            </w:pPr>
            <w:r>
              <w:rPr>
                <w:b/>
              </w:rPr>
              <w:t>(234.9</w:t>
            </w:r>
          </w:p>
        </w:tc>
        <w:tc>
          <w:tcPr>
            <w:tcW w:w="174" w:type="dxa"/>
            <w:tcBorders/>
            <w:shd w:fill="CCEEFF" w:val="clear"/>
            <w:vAlign w:val="center"/>
          </w:tcPr>
          <w:p>
            <w:pPr>
              <w:pStyle w:val="TableContents"/>
              <w:bidi w:val="0"/>
              <w:spacing w:before="0" w:after="283"/>
              <w:jc w:val="left"/>
              <w:rPr>
                <w:b/>
              </w:rPr>
            </w:pPr>
            <w:r>
              <w:rPr>
                <w:b/>
              </w:rPr>
              <w:t>)</w:t>
            </w:r>
          </w:p>
        </w:tc>
      </w:tr>
      <w:tr>
        <w:trPr/>
        <w:tc>
          <w:tcPr>
            <w:tcW w:w="37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b/>
              </w:rPr>
            </w:pPr>
            <w:r>
              <w:rPr>
                <w:b/>
              </w:rPr>
              <w:t>Loss before income tax (expenses)/benefit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b/>
              </w:rPr>
            </w:pPr>
            <w:r>
              <w:rPr>
                <w:b/>
              </w:rPr>
              <w:t>(3,843,996</w:t>
            </w:r>
          </w:p>
        </w:tc>
        <w:tc>
          <w:tcPr>
            <w:tcW w:w="150" w:type="dxa"/>
            <w:tcBorders/>
            <w:shd w:fill="CCEEFF" w:val="clear"/>
            <w:vAlign w:val="center"/>
          </w:tcPr>
          <w:p>
            <w:pPr>
              <w:pStyle w:val="TableContents"/>
              <w:bidi w:val="0"/>
              <w:spacing w:before="0" w:after="283"/>
              <w:jc w:val="left"/>
              <w:rPr>
                <w:b/>
              </w:rPr>
            </w:pPr>
            <w:r>
              <w:rPr>
                <w:b/>
              </w:rPr>
              <w:t>)</w:t>
            </w:r>
          </w:p>
        </w:tc>
        <w:tc>
          <w:tcPr>
            <w:tcW w:w="10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b/>
              </w:rPr>
            </w:pPr>
            <w:r>
              <w:rPr>
                <w:b/>
              </w:rPr>
              <w:t>(1,680,967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(2,163,029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rPr>
            </w:pPr>
            <w:r>
              <w:rPr>
                <w:b/>
              </w:rPr>
              <w:t>128.7</w:t>
            </w:r>
          </w:p>
        </w:tc>
        <w:tc>
          <w:tcPr>
            <w:tcW w:w="174" w:type="dxa"/>
            <w:tcBorders/>
            <w:shd w:fill="CCEEFF" w:val="clear"/>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pPr>
            <w:r>
              <w:rPr/>
              <w:t>Income tax (expenses)/benefit</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tcMar>
              <w:bottom w:w="28" w:type="dxa"/>
            </w:tcMar>
            <w:vAlign w:val="center"/>
          </w:tcPr>
          <w:p>
            <w:pPr>
              <w:pStyle w:val="TableContents"/>
              <w:bidi w:val="0"/>
              <w:spacing w:before="0" w:after="283"/>
              <w:jc w:val="right"/>
              <w:rPr/>
            </w:pPr>
            <w:r>
              <w:rPr/>
              <w:t>(961,565</w:t>
            </w:r>
          </w:p>
        </w:tc>
        <w:tc>
          <w:tcPr>
            <w:tcW w:w="150"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tcMar>
              <w:bottom w:w="28" w:type="dxa"/>
            </w:tcMar>
            <w:vAlign w:val="center"/>
          </w:tcPr>
          <w:p>
            <w:pPr>
              <w:pStyle w:val="TableContents"/>
              <w:bidi w:val="0"/>
              <w:spacing w:before="0" w:after="283"/>
              <w:jc w:val="right"/>
              <w:rPr/>
            </w:pPr>
            <w:r>
              <w:rPr/>
              <w:t>270,502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(1,232,067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(455.5</w:t>
            </w:r>
          </w:p>
        </w:tc>
        <w:tc>
          <w:tcPr>
            <w:tcW w:w="174" w:type="dxa"/>
            <w:tcBorders/>
            <w:vAlign w:val="center"/>
          </w:tcPr>
          <w:p>
            <w:pPr>
              <w:pStyle w:val="TableContents"/>
              <w:bidi w:val="0"/>
              <w:spacing w:before="0" w:after="283"/>
              <w:jc w:val="left"/>
              <w:rPr/>
            </w:pPr>
            <w:r>
              <w:rPr/>
              <w:t>)</w:t>
            </w:r>
          </w:p>
        </w:tc>
      </w:tr>
      <w:tr>
        <w:trPr/>
        <w:tc>
          <w:tcPr>
            <w:tcW w:w="3703"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5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(4,805,561</w:t>
            </w:r>
          </w:p>
        </w:tc>
        <w:tc>
          <w:tcPr>
            <w:tcW w:w="150" w:type="dxa"/>
            <w:tcBorders/>
            <w:shd w:fill="CCEEFF" w:val="clear"/>
            <w:vAlign w:val="center"/>
          </w:tcPr>
          <w:p>
            <w:pPr>
              <w:pStyle w:val="TableContents"/>
              <w:bidi w:val="0"/>
              <w:spacing w:before="0" w:after="283"/>
              <w:jc w:val="left"/>
              <w:rPr>
                <w:b/>
              </w:rPr>
            </w:pPr>
            <w:r>
              <w:rPr>
                <w:b/>
              </w:rPr>
              <w:t>)</w:t>
            </w:r>
          </w:p>
        </w:tc>
        <w:tc>
          <w:tcPr>
            <w:tcW w:w="107"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5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(1,410,465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(3,395,096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rPr>
            </w:pPr>
            <w:r>
              <w:rPr>
                <w:b/>
              </w:rPr>
              <w:t>240.7</w:t>
            </w:r>
          </w:p>
        </w:tc>
        <w:tc>
          <w:tcPr>
            <w:tcW w:w="17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revenue primarily from the sales of both OEM and ODM interconnect products, including connectors, cables and wire harnesses, to manufacturing companies and EMS companies, which procure and assemble products on behalf of manufacturing companies. For the fiscal years ended March 31, 2026 and 2025, our total revenue was US$17.30 million and US$17.63 million, respectively. Our revenue decreased by 1.9%, from US$17.63 million for the fiscal year ended March 31, 2025 to US$17.30 million for the fiscal year ended March 31, 2026. During these periods, we derived all of our revenue from sales in Europe, Asia and the Americas.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revenue by interconnect product type for the periods indicated.</w:t>
      </w:r>
    </w:p>
    <w:p>
      <w:pPr>
        <w:pStyle w:val="TextBody"/>
        <w:bidi w:val="0"/>
        <w:spacing w:before="0" w:after="0"/>
        <w:ind w:left="0" w:right="0" w:hanging="0"/>
        <w:jc w:val="both"/>
        <w:rPr>
          <w:caps w:val="false"/>
          <w:smallCaps w:val="false"/>
        </w:rPr>
      </w:pPr>
      <w:r>
        <w:rPr>
          <w:caps w:val="false"/>
          <w:smallCaps w:val="false"/>
        </w:rPr>
        <w:t> </w:t>
      </w:r>
    </w:p>
    <w:tbl>
      <w:tblPr>
        <w:tblW w:w="9300" w:type="dxa"/>
        <w:jc w:val="left"/>
        <w:tblInd w:w="0" w:type="dxa"/>
        <w:tblLayout w:type="fixed"/>
        <w:tblCellMar>
          <w:top w:w="0" w:type="dxa"/>
          <w:left w:w="0" w:type="dxa"/>
          <w:bottom w:w="0" w:type="dxa"/>
          <w:right w:w="0" w:type="dxa"/>
        </w:tblCellMar>
      </w:tblPr>
      <w:tblGrid>
        <w:gridCol w:w="2555"/>
        <w:gridCol w:w="90"/>
        <w:gridCol w:w="170"/>
        <w:gridCol w:w="1130"/>
        <w:gridCol w:w="90"/>
        <w:gridCol w:w="90"/>
        <w:gridCol w:w="90"/>
        <w:gridCol w:w="590"/>
        <w:gridCol w:w="90"/>
        <w:gridCol w:w="90"/>
        <w:gridCol w:w="170"/>
        <w:gridCol w:w="1130"/>
        <w:gridCol w:w="90"/>
        <w:gridCol w:w="90"/>
        <w:gridCol w:w="90"/>
        <w:gridCol w:w="590"/>
        <w:gridCol w:w="90"/>
        <w:gridCol w:w="90"/>
        <w:gridCol w:w="170"/>
        <w:gridCol w:w="905"/>
        <w:gridCol w:w="125"/>
        <w:gridCol w:w="90"/>
        <w:gridCol w:w="90"/>
        <w:gridCol w:w="425"/>
        <w:gridCol w:w="170"/>
      </w:tblGrid>
      <w:tr>
        <w:trPr/>
        <w:tc>
          <w:tcPr>
            <w:tcW w:w="25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5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48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Cables and wire harnesses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15,986,501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16,385,705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(399,204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(2.4</w:t>
            </w:r>
          </w:p>
        </w:tc>
        <w:tc>
          <w:tcPr>
            <w:tcW w:w="170" w:type="dxa"/>
            <w:tcBorders/>
            <w:shd w:fill="CCEEFF" w:val="clear"/>
            <w:vAlign w:val="center"/>
          </w:tcPr>
          <w:p>
            <w:pPr>
              <w:pStyle w:val="TableContents"/>
              <w:bidi w:val="0"/>
              <w:spacing w:before="0" w:after="283"/>
              <w:jc w:val="left"/>
              <w:rPr/>
            </w:pPr>
            <w:r>
              <w:rPr/>
              <w:t>)</w:t>
            </w:r>
          </w:p>
        </w:tc>
      </w:tr>
      <w:tr>
        <w:trPr/>
        <w:tc>
          <w:tcPr>
            <w:tcW w:w="2555" w:type="dxa"/>
            <w:tcBorders/>
            <w:vAlign w:val="center"/>
          </w:tcPr>
          <w:p>
            <w:pPr>
              <w:pStyle w:val="TableContents"/>
              <w:bidi w:val="0"/>
              <w:spacing w:before="0" w:after="283"/>
              <w:jc w:val="left"/>
              <w:rPr/>
            </w:pPr>
            <w:r>
              <w:rPr/>
              <w:t>Connectors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1,316,243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1,245,784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70,459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right"/>
              <w:rPr/>
            </w:pPr>
            <w:r>
              <w:rPr/>
              <w:t>5.7</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17,302,744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17,631,489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(328,745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our revenue generated from cables and wire harnesses decreased by 2.4%, from US$16.39 million for the fiscal year ended March 31, 2025 to US$15.99 million for the fiscal year ended March 31, 2026. The decrease in revenue from sales of cables and wire harnesses was primarily driven by lower sales volume, which was partially offset by the increase in the overall average selling prices of our cables and wire harness products. Compared with the fiscal year ended March 31, 2025, our sales volume of cables and wire harnesses decreased by 14.8% from approximately 12.77 million units to approximately 10.87 million units, while our average selling prices increased by 14.6% from US$1.28 per unit to US$1.47 per unit. The reduction in demand was principally attributable to a reduction in sales orders from one of our major customers during its transition from discontinued product models to new product models that are still in the development phase, as we are concurrently assisting in the development stage. Our subsidiaries manufacture cables and wire harnesses based on customer-specific orders and do not have a practice of holding excessive levels of inventory related to the customer’s discontinued products, and do not have manufacturing assets or production lines that have been established solely for any specific product specification. Accordingly, we concluded that no indicators of inventory obsolescence or asset impairment existed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connectors accounted for 7.6% of our total revenue and increased by 5.7% from US$1.25 million for the fiscal year ended March 31, 2025 to US$1.32 million for the fiscal year ended March 31, 2026. The increase was primarily attributable to the increase in the overall average selling prices of our connectors, partially offset by a decrease in sales volume. Compared with the fiscal year ended March 31, 2025, our average selling prices increased by 17.3% from US$0.07 per unit to US$0.08 per unit due to higher raw material costs, while our sales volume of connectors decreased by 9.9% from approximately 18.57 million units to approximately 16.73 million units. We continue to monitor raw material costs and market conditions and intend to adjust selling prices as appropriate. Any future price adjustments could affect sales volume, though the extent of the impact will depend on market conditions and customer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revenue for the fiscal years ended March 31, 2026 and 2025 was generated from sales of our products to customers located in Europe, Asia and the Americas. The following table sets forth the disaggregation of revenue by region:</w:t>
      </w:r>
    </w:p>
    <w:p>
      <w:pPr>
        <w:pStyle w:val="TextBody"/>
        <w:bidi w:val="0"/>
        <w:spacing w:before="0" w:after="0"/>
        <w:ind w:left="0" w:right="0" w:hanging="0"/>
        <w:jc w:val="both"/>
        <w:rPr>
          <w:caps w:val="false"/>
          <w:smallCaps w:val="false"/>
        </w:rPr>
      </w:pPr>
      <w:r>
        <w:rPr>
          <w:caps w:val="false"/>
          <w:smallCaps w:val="false"/>
        </w:rPr>
        <w:t> </w:t>
      </w:r>
    </w:p>
    <w:tbl>
      <w:tblPr>
        <w:tblW w:w="8265" w:type="dxa"/>
        <w:jc w:val="left"/>
        <w:tblInd w:w="0" w:type="dxa"/>
        <w:tblLayout w:type="fixed"/>
        <w:tblCellMar>
          <w:top w:w="0" w:type="dxa"/>
          <w:left w:w="0" w:type="dxa"/>
          <w:bottom w:w="0" w:type="dxa"/>
          <w:right w:w="0" w:type="dxa"/>
        </w:tblCellMar>
      </w:tblPr>
      <w:tblGrid>
        <w:gridCol w:w="1400"/>
        <w:gridCol w:w="90"/>
        <w:gridCol w:w="170"/>
        <w:gridCol w:w="1130"/>
        <w:gridCol w:w="90"/>
        <w:gridCol w:w="90"/>
        <w:gridCol w:w="90"/>
        <w:gridCol w:w="590"/>
        <w:gridCol w:w="90"/>
        <w:gridCol w:w="90"/>
        <w:gridCol w:w="170"/>
        <w:gridCol w:w="1130"/>
        <w:gridCol w:w="90"/>
        <w:gridCol w:w="90"/>
        <w:gridCol w:w="90"/>
        <w:gridCol w:w="590"/>
        <w:gridCol w:w="90"/>
        <w:gridCol w:w="90"/>
        <w:gridCol w:w="170"/>
        <w:gridCol w:w="905"/>
        <w:gridCol w:w="125"/>
        <w:gridCol w:w="90"/>
        <w:gridCol w:w="90"/>
        <w:gridCol w:w="545"/>
        <w:gridCol w:w="170"/>
      </w:tblGrid>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5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60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pPr>
            <w:r>
              <w:rPr/>
              <w:t>Europe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10,572,256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10,991,905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(419,649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w:t>
            </w:r>
          </w:p>
        </w:tc>
      </w:tr>
      <w:tr>
        <w:trPr/>
        <w:tc>
          <w:tcPr>
            <w:tcW w:w="1400" w:type="dxa"/>
            <w:tcBorders/>
            <w:vAlign w:val="center"/>
          </w:tcPr>
          <w:p>
            <w:pPr>
              <w:pStyle w:val="TableContents"/>
              <w:bidi w:val="0"/>
              <w:spacing w:before="0" w:after="283"/>
              <w:jc w:val="left"/>
              <w:rPr/>
            </w:pPr>
            <w:r>
              <w:rPr/>
              <w:t>Asia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5,573,347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5,336,247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237,100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pPr>
            <w:r>
              <w:rPr/>
              <w:t>The Americas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1,157,141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1,303,337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(146,196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pPr>
            <w:r>
              <w:rPr/>
              <w:t>(11.2</w:t>
            </w:r>
          </w:p>
        </w:tc>
        <w:tc>
          <w:tcPr>
            <w:tcW w:w="170" w:type="dxa"/>
            <w:tcBorders/>
            <w:shd w:fill="CCEEFF" w:val="clear"/>
            <w:vAlign w:val="center"/>
          </w:tcPr>
          <w:p>
            <w:pPr>
              <w:pStyle w:val="TableContents"/>
              <w:bidi w:val="0"/>
              <w:spacing w:before="0" w:after="283"/>
              <w:jc w:val="left"/>
              <w:rPr/>
            </w:pPr>
            <w:r>
              <w:rPr/>
              <w:t>)</w:t>
            </w:r>
          </w:p>
        </w:tc>
      </w:tr>
      <w:tr>
        <w:trPr/>
        <w:tc>
          <w:tcPr>
            <w:tcW w:w="140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17,302,744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17,631,489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(328,745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45" w:type="dxa"/>
            <w:tcBorders>
              <w:bottom w:val="double" w:sz="10" w:space="0" w:color="000000"/>
            </w:tcBorders>
            <w:tcMar>
              <w:bottom w:w="28" w:type="dxa"/>
            </w:tcMar>
            <w:vAlign w:val="center"/>
          </w:tcPr>
          <w:p>
            <w:pPr>
              <w:pStyle w:val="TableContents"/>
              <w:bidi w:val="0"/>
              <w:spacing w:before="0" w:after="283"/>
              <w:jc w:val="right"/>
              <w:rPr>
                <w:b/>
              </w:rPr>
            </w:pPr>
            <w:r>
              <w:rPr>
                <w:b/>
              </w:rPr>
              <w:t>(1.9</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Europe decreased by 3.8%, from US$10.99 million for the fiscal year ended March 31, 2025 to US$10.57 million for the fiscal year ended March 31, 2026. The decline stemmed from modest sales decreases in Denmark and Bulgaria, which were partially offset by slight revenue growth in Hungary and the Netherlands. Lower order volumes from certain customers caused the sales downturn in Denmark and Bulgaria, as these customers were transitioning from discontinued products to new product models that are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Asia increased by 4.4%, from US$5.34 million for the fiscal year ended March 31, 2025, to US$5.57 million for the fiscal year ended March 31, 2026. This increase was primarily driven by a sales increase in Mainland China of US$0.65 million and a sales increase in the Association of Southeast Asian Nations, or ASEAN, of US$0.10 million, mainly attributable to higher order volumes allocated by customers to OEMs located in China as a result of our sales efforts in conducting third-party marketing and business development services, and was partially offset by a sales decrease in Hong Kong, China of US$0.52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the Americas decreased by 11.2%, from US$1.30 million for the fiscal year ended March 31, 2025, to US$1.16 million for the fiscal year ended March 31, 2026, which was primarily due to a sales decrease in North America of US$0.15 million. The decline was largely attributable to higher U.S. tariffs, which led certain customers to gradually shift to local suppliers in order to mitigate their tariff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primarily consists of the following: (i) inventory costs, which primarily include procurement costs for components for the manufacturing of our products, including 1) cables and plastics, including single wires, insulation tubes, standard connectors, plastic fabricated parts, 2) metal parts, including metal shells, metal terminals, metal fabricated parts, and 3) electronic parts, including printed circuit boards, LEDs, resistors, capacitors, transistors, inductors, thermistors, potentiometers, ferrite cores, switches, and semiconductors; (ii) labor costs, which consist of salaries and benefits of employees; (iii) rental expenses for the factory and dormitory of employees; (iv) depreciation expenses on our plant, property and equipment used for production; and (v) other expenses that are directly attributable to our principal operations, which primarily include freight charges for materials and components, and electricity and water used for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decreased by US$0.41 million, or 3.2%, from US$12.65 million for the fiscal year ended March 31, 2025 to US$12.24 million for the fiscal year ended March 31, 2026, which was generally in line with the decrease in total revenue. The decrease was primarily due to the following: (i) a decrease in our inventory costs from US$8.58 million for the fiscal year ended March 31, 2025 to US$8.50 million for the fiscal year ended March 31, 2026, and (ii) a decrease in our labor costs from US$3.07 million for the fiscal year ended March 31, 2025 to US$2.77 million for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inventory costs represented a significant portion of our cost of revenue. For the fiscal years ended March 31, 2026 and 2025, our inventory costs amounted to US$8.50 million and US$8.58 million, respectively, representing 69.5% and 67.8% of our total cost of revenue for such respective periods. The decrease in our inventory costs was primarily due to an 11.9% decrease in the total sales volume from approximately 31.34 million units in the fiscal year ended March 31, 2025 to approximately 27.61 million units in the fiscal year ended March 31, 2026. This decrease was partially offset by a 12.5% increase in inventory cost per unit from US$0.27 in the fiscal year ended March 31, 2025 to US$0.31 in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2026 and 2025, our labor costs amounted to US$2.77 million and US$3.07 million, respectively, representing 22.7% and 24.3% of our total cost of revenue. The decrease in labor costs was mainly attributable to lower production volumes driven by decreased sales and our efforts to reduce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and Gross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represents our revenue less cost of revenue. Our gross profit margin represents our gross profit as a percentage of our revenue. For the fiscal years ended March 31, 2026 and 2025, our gross profit was US$5.06 million and US$4.98 million, respectively, and our gross profit margin was 29.3% and 28.3%,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overall gross profit margin:</w:t>
      </w:r>
    </w:p>
    <w:p>
      <w:pPr>
        <w:pStyle w:val="TextBody"/>
        <w:bidi w:val="0"/>
        <w:spacing w:before="0" w:after="0"/>
        <w:ind w:left="0" w:right="0" w:hanging="0"/>
        <w:jc w:val="both"/>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1565"/>
        <w:gridCol w:w="90"/>
        <w:gridCol w:w="170"/>
        <w:gridCol w:w="1205"/>
        <w:gridCol w:w="125"/>
        <w:gridCol w:w="90"/>
        <w:gridCol w:w="90"/>
        <w:gridCol w:w="590"/>
        <w:gridCol w:w="125"/>
        <w:gridCol w:w="90"/>
        <w:gridCol w:w="170"/>
        <w:gridCol w:w="1205"/>
        <w:gridCol w:w="125"/>
        <w:gridCol w:w="90"/>
        <w:gridCol w:w="90"/>
        <w:gridCol w:w="590"/>
        <w:gridCol w:w="125"/>
        <w:gridCol w:w="90"/>
        <w:gridCol w:w="170"/>
        <w:gridCol w:w="905"/>
        <w:gridCol w:w="125"/>
        <w:gridCol w:w="90"/>
        <w:gridCol w:w="90"/>
        <w:gridCol w:w="425"/>
        <w:gridCol w:w="170"/>
      </w:tblGrid>
      <w:tr>
        <w:trPr/>
        <w:tc>
          <w:tcPr>
            <w:tcW w:w="15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75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77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7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17,302,744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17,631,489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(328,745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w:t>
            </w:r>
          </w:p>
        </w:tc>
      </w:tr>
      <w:tr>
        <w:trPr/>
        <w:tc>
          <w:tcPr>
            <w:tcW w:w="156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(12,238,334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(12,647,287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408,953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(3.2</w:t>
            </w:r>
          </w:p>
        </w:tc>
        <w:tc>
          <w:tcPr>
            <w:tcW w:w="170" w:type="dxa"/>
            <w:tcBorders/>
            <w:vAlign w:val="center"/>
          </w:tcPr>
          <w:p>
            <w:pPr>
              <w:pStyle w:val="TableContents"/>
              <w:bidi w:val="0"/>
              <w:spacing w:before="0" w:after="283"/>
              <w:jc w:val="left"/>
              <w:rPr/>
            </w:pPr>
            <w:r>
              <w:rPr/>
              <w:t>)</w:t>
            </w:r>
          </w:p>
        </w:tc>
      </w:tr>
      <w:tr>
        <w:trPr/>
        <w:tc>
          <w:tcPr>
            <w:tcW w:w="1565"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5,064,410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29.3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4,984,202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28.3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80,208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rPr>
            </w:pPr>
            <w:r>
              <w:rPr>
                <w:b/>
              </w:rPr>
              <w:t>1.6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margin increased slightly compared with the prior fiscal year, primarily due to a reduction in fixed costs per unit as a result of our efforts in reducing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0"/>
        <w:gridCol w:w="90"/>
        <w:gridCol w:w="170"/>
        <w:gridCol w:w="1085"/>
        <w:gridCol w:w="125"/>
        <w:gridCol w:w="90"/>
        <w:gridCol w:w="90"/>
        <w:gridCol w:w="545"/>
        <w:gridCol w:w="125"/>
        <w:gridCol w:w="90"/>
        <w:gridCol w:w="170"/>
        <w:gridCol w:w="1085"/>
        <w:gridCol w:w="125"/>
        <w:gridCol w:w="90"/>
        <w:gridCol w:w="90"/>
        <w:gridCol w:w="545"/>
        <w:gridCol w:w="125"/>
        <w:gridCol w:w="90"/>
        <w:gridCol w:w="170"/>
        <w:gridCol w:w="1085"/>
        <w:gridCol w:w="125"/>
        <w:gridCol w:w="90"/>
        <w:gridCol w:w="90"/>
        <w:gridCol w:w="590"/>
        <w:gridCol w:w="135"/>
      </w:tblGrid>
      <w:tr>
        <w:trPr/>
        <w:tc>
          <w:tcPr>
            <w:tcW w:w="31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42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79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35" w:type="dxa"/>
            <w:tcBorders/>
            <w:vAlign w:val="center"/>
          </w:tcPr>
          <w:p>
            <w:pPr>
              <w:pStyle w:val="TableContents"/>
              <w:bidi w:val="0"/>
              <w:spacing w:before="0" w:after="283"/>
              <w:ind w:left="0" w:right="0" w:hanging="180"/>
              <w:jc w:val="left"/>
              <w:rPr/>
            </w:pPr>
            <w:r>
              <w:rPr/>
              <w:t> </w:t>
            </w:r>
          </w:p>
        </w:tc>
      </w:tr>
      <w:tr>
        <w:trPr/>
        <w:tc>
          <w:tcPr>
            <w:tcW w:w="3190"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(2,216,650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(12.8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(1,695,217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(521,433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30.8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190"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(4,606,701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(26.6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(4,601,637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(26.1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(5,064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135" w:type="dxa"/>
            <w:tcBorders/>
            <w:vAlign w:val="center"/>
          </w:tcPr>
          <w:p>
            <w:pPr>
              <w:pStyle w:val="TableContents"/>
              <w:bidi w:val="0"/>
              <w:spacing w:before="0" w:after="283"/>
              <w:ind w:left="0" w:right="0" w:hanging="180"/>
              <w:jc w:val="left"/>
              <w:rPr/>
            </w:pPr>
            <w:r>
              <w:rPr/>
              <w:t> </w:t>
            </w:r>
          </w:p>
        </w:tc>
      </w:tr>
      <w:tr>
        <w:trPr/>
        <w:tc>
          <w:tcPr>
            <w:tcW w:w="3190"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(1,699,630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(654,039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(1,045,591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159.9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19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(8,522,981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b/>
              </w:rPr>
            </w:pPr>
            <w:r>
              <w:rPr>
                <w:b/>
              </w:rPr>
              <w:t>(49.2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(6,950,893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b/>
              </w:rPr>
            </w:pPr>
            <w:r>
              <w:rPr>
                <w:b/>
              </w:rPr>
              <w:t>(39.4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(1,572,088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22.6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primarily consist of: (i) marketing and business development service fees; (ii) marketing and entertainment expenses for promotion; (iii) staff costs, travelling expenses, rental and depreciation related to selling and marketing functions; (iv) freight fees and transportation fees; and (v) office, utility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increased by 30.8%, or US$0.52 million, from US$1.70 million for the fiscal year ended March 31, 2025 to US$2.22 million for the fiscal year ended March 31, 2026. The increase was primarily due to (i) an increase of US$0.62 million in marketing and business development service fees, which represent external service costs paid to professional service providers to support our market research, distribution channel building, and product promotion in the ASEAN and European markets; partially offset by (ii) a decrease of US$0.18 million in exhibition expenses, as we reduced exhibition activities and instead focused on direct customer outreach to develop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(i) salaries and benefits for our administrative personnel; (ii) agent and professional fees; (iii) office expenses, expenses for office supplies and consumables; (iv) depreciation and amortization expenses relating to property, plant and equipment and leased properties used for administrative purposes; and (v) other expenses, which primarily include utilities, traveling, entertainment, repair and maintenance, rental and other miscellaneous expenses for administrative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0.1%, or US$0.01 million, from US$4.60 million for the fiscal year ended March 31, 2025 to US$4.61 million for the fiscal year ended March 31, 2026, which was primarily attributable to (i) an increase of US$0.12 million in office, utility and other expenses, primarily due to higher amortization charges for newly acquired cloud servers; partially offset by (ii) a decrease of US$0.12 million in agent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(“R&amp;D”)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related to the creation of new and improved products and processes are expensed as incurred, which mainly include (i) consulting and professional service fees related to R&amp;D; (ii) salaries, welfare and insurance expenses paid to R&amp;D employees; (iii) costs of materials and components for the research and development activities; and (iv) manufacturing expenses for producing samples related to our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increased by 159.9%, or US$1.05 million, from US$0.65 million for the fiscal year ended March 31, 2025 to US$1.70 million for the fiscal year ended March 31, 2026, primarily due to an increase of US$1.00 million in consulting and professional service fees to advance the development of our production-oriented intelligent control modules and the newly launched eNaviX carbon footprint monitoring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production-oriented intelligent control modules, we partnered with external service providers for customized joint development. Designed to be compatible with our existing interconnect products, this initiative optimizes product performance and enriches our industrial automation product portfolio, further bolstering our competitiveness in the manufacturing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eNaviX carbon footprint monitoring system, we leveraged external technical resources for its full development. Tailored for small and medium-sized enterprises, this dedicated ESG and energy management solution broadens our service offerings, captures demand in the carbon management market and delivers new growth prospects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(loss)/income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(loss)/income primarily consists of: (i) losses or gains on exchange rate fluctuations; (ii) financial and interest (loss)/income, inclusive of interest income and interest expenses; (iii) other non-operating income, net, inclusive of overtime expense compensation and material enhancement compensation paid by customers for early delivery orders; (iv) non-recurring engineering charges paid by customers; and (v) government subsidy.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decreased by US$0.68 million, from other income of US$0.29 million for the fiscal year ended March 31, 2025 to other expenses of US$0.39 million for the fiscal year ended March 31, 2026, which was primarily attributable to (i) a decrease in foreign currency exchange gain of US$0.49 million, and (ii) a decrease of US$0.21 million in government subsidy, resulting from the absence of the one-off “Little Giant” award received in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(expenses)/benefit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in the Cayman Islands as an exempted company with limited liability under the Companies Act of the Cayman Islands and, accordingly, is not subject to income tax from business carried out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CCSC Group Limited, was incorporated under the laws of the British Virgin Islands (“BVI”) as a business company with limited liability under the BVI Business Companies Act and, accordingly, is not subject to income tax from business carried out in the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Inland Revenue (Amendment) (No. 3) Ordinance 2018 published by the Hong Kong government, effective April 1, 2018, under the two-tiered profits tax rates regime, the profits tax rate for the first HK$2 million of assessable profits was reduced to 8.25% for corporations, while the remaining profits will continue to be taxed at the existing 16.5% tax rate. CCSC Technology Group and CCSC Interconnect HK were subject to Hong Kong profit tax during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CCSC Technology Serbia, which was incorporated and operates in Serbia, is subject to enterprise income tax on its worldwide taxable income, as determined under the tax laws and accounting standards, at a rate of 15%. CCSC Technology Serbia incurred operating expenses and accumulated tax losses, resulting in no taxable income during these periods. These tax losses are available for carryforward to offset future taxable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CCSC Interconnect NL, which was incorporated and is operated in the Netherlands, is subject to enterprise income tax on its worldwide taxable income, as determined under the tax laws and accounting standards, at a rate of 19% (15% in 2022) for the first EUR200,000 (EUR395,000 in 2022) of profits earned by CCSC Interconnect NL, and the remaining profits will continue to be taxed at the existing 25.8% tax rate in 2026, 2025 and 2024. For the fiscal years ended March 31, 2026 and 2025, CCSC Interconnect NL was not subject to any income tax as it had no taxable income during these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our PRC subsidiary, CCSC Interconnect DG, is subject to enterprise income tax on its taxable income in China at a statutory rate of 25%; however, since CCSC Interconnect DG is certified as a High and New Technology Enterprise, or HNTE, it is eligible for a preferential enterprise income tax rate of 15%. The enterprise income tax is calculated based on the entity’s global income, as determined under the PRC laws and accounting standards. The HNTE accreditation may be renewed every three years. As of the date of this annual report, we enjoy a preferential enterprise income tax rate of 15% for years 2025-2027.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primarily subject to value-added tax at a rate of 13% on sales, in each case less any deductible value-added tax we have already paid or borne. We are also subject to surcharges on value-added tax payments in accordance with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our PRC subsidiary in China to our Hong Kong subsidiary, CCSC Technology Group, will be subject to a withholding tax rate of 10%, unless the relevant Hong Kong entity satisfies all the requirements under the Double Taxation Avoidance Arrangement and receives approval from the relevant tax authority. If CCSC Technology Group satisfies all the requirements under the tax arrangement and receives approval from the relevant tax authority, then the dividends paid to the Hong Kong subsidiary would be subject to withholding tax at the standard rate of 5%. Effective from November 1, 2015, the above-mentioned approval requirement was abolished, but a Hong Kong entity is still required to file an application package with the relevant tax authority, and settle any overdue taxes if the preferential 5% tax rate is denied based on the subsequent review of the application package by the relevant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any of our subsidiaries outside of China were deemed to be a “resident enterprise” under the PRC Enterprise Income Tax Law, the affected entity would be subject to enterprise income tax on its worldwide income at a rate of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the Notice on Improvements to Policies of Weighted Pre-tax Deduction of Research and Development Expenses, research and development expenses incurred by an enterprise in the course of carrying out research and development activities that have not formed intangible assets are included in the profit and loss account for the current year. Effective January 1, 2021, in addition to deducting the actual amount of research and development expenses incurred, an enterprise is allowed an additional 100% deduction of such amount in calculating its taxable income for the relevant year, increased from 75% prior to 2021. For R&amp;D expenses that have formed intangible assets, the tax amortization is based on 200% of the costs of the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benefit decreased from US$0.27 million for the fiscal year ended March 31, 2025 to income tax expenses of US$0.96 million for the fiscal year ended March 31, 2026, as the prior year benefited from losses incurred by our Hong Kong and PRC subsidiaries, whereas a valuation allowance was recognized against the deferred tax assets of such subsidiaries in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increased by 240.7%, or US$3.40 million, from US$1.41 million for the fiscal year ended March 31, 2025 to US$4.81 million for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Results of Operations for the Fiscal Years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8"/>
        <w:gridCol w:w="90"/>
        <w:gridCol w:w="208"/>
        <w:gridCol w:w="1476"/>
        <w:gridCol w:w="152"/>
        <w:gridCol w:w="109"/>
        <w:gridCol w:w="208"/>
        <w:gridCol w:w="1476"/>
        <w:gridCol w:w="125"/>
        <w:gridCol w:w="90"/>
        <w:gridCol w:w="170"/>
        <w:gridCol w:w="1085"/>
        <w:gridCol w:w="125"/>
        <w:gridCol w:w="90"/>
        <w:gridCol w:w="90"/>
        <w:gridCol w:w="770"/>
        <w:gridCol w:w="173"/>
      </w:tblGrid>
      <w:tr>
        <w:trPr/>
        <w:tc>
          <w:tcPr>
            <w:tcW w:w="37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6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3" w:type="dxa"/>
            <w:tcBorders/>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3" w:type="dxa"/>
            <w:tcBorders/>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7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b/>
              </w:rPr>
            </w:pPr>
            <w:r>
              <w:rPr>
                <w:b/>
              </w:rPr>
              <w:t>Net revenue</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476" w:type="dxa"/>
            <w:tcBorders/>
            <w:shd w:fill="CCEEFF" w:val="clear"/>
            <w:vAlign w:val="center"/>
          </w:tcPr>
          <w:p>
            <w:pPr>
              <w:pStyle w:val="TableContents"/>
              <w:bidi w:val="0"/>
              <w:spacing w:before="0" w:after="283"/>
              <w:jc w:val="right"/>
              <w:rPr/>
            </w:pPr>
            <w:r>
              <w:rPr/>
              <w:t>17,631,489</w:t>
            </w:r>
          </w:p>
        </w:tc>
        <w:tc>
          <w:tcPr>
            <w:tcW w:w="15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476" w:type="dxa"/>
            <w:tcBorders/>
            <w:shd w:fill="CCEEFF" w:val="clear"/>
            <w:vAlign w:val="center"/>
          </w:tcPr>
          <w:p>
            <w:pPr>
              <w:pStyle w:val="TableContents"/>
              <w:bidi w:val="0"/>
              <w:spacing w:before="0" w:after="283"/>
              <w:jc w:val="right"/>
              <w:rPr/>
            </w:pPr>
            <w:r>
              <w:rPr/>
              <w:t>14,748,551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2,882,938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19.5</w:t>
            </w:r>
          </w:p>
        </w:tc>
        <w:tc>
          <w:tcPr>
            <w:tcW w:w="173" w:type="dxa"/>
            <w:tcBorders/>
            <w:shd w:fill="CCEEFF" w:val="clear"/>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pPr>
            <w:r>
              <w:rPr/>
              <w:t>Cost of revenue</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pPr>
            <w:r>
              <w:rPr/>
              <w:t>(12,647,287</w:t>
            </w:r>
          </w:p>
        </w:tc>
        <w:tc>
          <w:tcPr>
            <w:tcW w:w="15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pPr>
            <w:r>
              <w:rPr/>
              <w:t>(10,825,943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(1,821,344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16.8</w:t>
            </w:r>
          </w:p>
        </w:tc>
        <w:tc>
          <w:tcPr>
            <w:tcW w:w="173" w:type="dxa"/>
            <w:tcBorders/>
            <w:shd w:fill="CCEEFF" w:val="clear"/>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b/>
              </w:rPr>
            </w:pPr>
            <w:r>
              <w:rPr>
                <w:b/>
              </w:rPr>
              <w:t>4,984,202</w:t>
            </w:r>
          </w:p>
        </w:tc>
        <w:tc>
          <w:tcPr>
            <w:tcW w:w="15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b/>
              </w:rPr>
            </w:pPr>
            <w:r>
              <w:rPr>
                <w:b/>
              </w:rPr>
              <w:t>3,922,608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1,061,594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27.1</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left"/>
              <w:rPr>
                <w:b/>
              </w:rPr>
            </w:pPr>
            <w:r>
              <w:rPr>
                <w:b/>
              </w:rPr>
              <w:t>Operating expenses: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(1,695,217</w:t>
            </w:r>
          </w:p>
        </w:tc>
        <w:tc>
          <w:tcPr>
            <w:tcW w:w="15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(1,039,882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(655,335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63.0</w:t>
            </w:r>
          </w:p>
        </w:tc>
        <w:tc>
          <w:tcPr>
            <w:tcW w:w="173" w:type="dxa"/>
            <w:tcBorders/>
            <w:shd w:fill="CCEEFF" w:val="clear"/>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(4,601,637</w:t>
            </w:r>
          </w:p>
        </w:tc>
        <w:tc>
          <w:tcPr>
            <w:tcW w:w="1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(4,134,394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(467,243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11.3</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pPr>
            <w:r>
              <w:rPr/>
              <w:t>(654,039</w:t>
            </w:r>
          </w:p>
        </w:tc>
        <w:tc>
          <w:tcPr>
            <w:tcW w:w="15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pPr>
            <w:r>
              <w:rPr/>
              <w:t>(594,521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(59,518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10.0</w:t>
            </w:r>
          </w:p>
        </w:tc>
        <w:tc>
          <w:tcPr>
            <w:tcW w:w="173" w:type="dxa"/>
            <w:tcBorders/>
            <w:shd w:fill="CCEEFF" w:val="clear"/>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left"/>
              <w:rPr>
                <w:b/>
              </w:rPr>
            </w:pPr>
            <w:r>
              <w:rPr>
                <w:b/>
              </w:rPr>
              <w:t>Total operating expenses</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tcMar>
              <w:bottom w:w="28" w:type="dxa"/>
            </w:tcMar>
            <w:vAlign w:val="center"/>
          </w:tcPr>
          <w:p>
            <w:pPr>
              <w:pStyle w:val="TableContents"/>
              <w:bidi w:val="0"/>
              <w:spacing w:before="0" w:after="283"/>
              <w:jc w:val="right"/>
              <w:rPr>
                <w:b/>
              </w:rPr>
            </w:pPr>
            <w:r>
              <w:rPr>
                <w:b/>
              </w:rPr>
              <w:t>(6,950,893</w:t>
            </w:r>
          </w:p>
        </w:tc>
        <w:tc>
          <w:tcPr>
            <w:tcW w:w="152" w:type="dxa"/>
            <w:tcBorders/>
            <w:vAlign w:val="center"/>
          </w:tcPr>
          <w:p>
            <w:pPr>
              <w:pStyle w:val="TableContents"/>
              <w:bidi w:val="0"/>
              <w:spacing w:before="0" w:after="283"/>
              <w:jc w:val="left"/>
              <w:rPr>
                <w:b/>
              </w:rPr>
            </w:pPr>
            <w:r>
              <w:rPr>
                <w:b/>
              </w:rPr>
              <w:t>)</w:t>
            </w:r>
          </w:p>
        </w:tc>
        <w:tc>
          <w:tcPr>
            <w:tcW w:w="109"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tcMar>
              <w:bottom w:w="28" w:type="dxa"/>
            </w:tcMar>
            <w:vAlign w:val="center"/>
          </w:tcPr>
          <w:p>
            <w:pPr>
              <w:pStyle w:val="TableContents"/>
              <w:bidi w:val="0"/>
              <w:spacing w:before="0" w:after="283"/>
              <w:jc w:val="right"/>
              <w:rPr>
                <w:b/>
              </w:rPr>
            </w:pPr>
            <w:r>
              <w:rPr>
                <w:b/>
              </w:rPr>
              <w:t>(5,768,797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b/>
              </w:rPr>
            </w:pPr>
            <w:r>
              <w:rPr>
                <w:b/>
              </w:rPr>
              <w:t>(1,182,096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b/>
              </w:rPr>
            </w:pPr>
            <w:r>
              <w:rPr>
                <w:b/>
              </w:rPr>
              <w:t>20.5</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left"/>
              <w:rPr>
                <w:b/>
              </w:rPr>
            </w:pPr>
            <w:r>
              <w:rPr>
                <w:b/>
              </w:rPr>
              <w:t>Loss from operations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b/>
              </w:rPr>
            </w:pPr>
            <w:r>
              <w:rPr>
                <w:b/>
              </w:rPr>
              <w:t>(1,966,691</w:t>
            </w:r>
          </w:p>
        </w:tc>
        <w:tc>
          <w:tcPr>
            <w:tcW w:w="152" w:type="dxa"/>
            <w:tcBorders/>
            <w:vAlign w:val="center"/>
          </w:tcPr>
          <w:p>
            <w:pPr>
              <w:pStyle w:val="TableContents"/>
              <w:bidi w:val="0"/>
              <w:spacing w:before="0" w:after="283"/>
              <w:jc w:val="left"/>
              <w:rPr>
                <w:b/>
              </w:rPr>
            </w:pPr>
            <w:r>
              <w:rPr>
                <w:b/>
              </w:rPr>
              <w:t>)</w:t>
            </w:r>
          </w:p>
        </w:tc>
        <w:tc>
          <w:tcPr>
            <w:tcW w:w="10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b/>
              </w:rPr>
            </w:pPr>
            <w:r>
              <w:rPr>
                <w:b/>
              </w:rPr>
              <w:t>(1,846,189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(120,502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b/>
              </w:rPr>
            </w:pPr>
            <w:r>
              <w:rPr>
                <w:b/>
              </w:rPr>
              <w:t>6.5</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left"/>
              <w:rPr>
                <w:b/>
              </w:rPr>
            </w:pPr>
            <w:r>
              <w:rPr>
                <w:b/>
              </w:rPr>
              <w:t>Other income:</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pPr>
            <w:r>
              <w:rPr/>
              <w:t>Other non-operating income/(expenses), net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534</w:t>
            </w:r>
          </w:p>
        </w:tc>
        <w:tc>
          <w:tcPr>
            <w:tcW w:w="15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(35,509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36,043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(101.5</w:t>
            </w:r>
          </w:p>
        </w:tc>
        <w:tc>
          <w:tcPr>
            <w:tcW w:w="173" w:type="dxa"/>
            <w:tcBorders/>
            <w:shd w:fill="CCEEFF" w:val="clear"/>
            <w:vAlign w:val="center"/>
          </w:tcPr>
          <w:p>
            <w:pPr>
              <w:pStyle w:val="TableContents"/>
              <w:bidi w:val="0"/>
              <w:spacing w:before="0" w:after="283"/>
              <w:jc w:val="left"/>
              <w:rPr/>
            </w:pPr>
            <w:r>
              <w:rPr/>
              <w:t>)</w:t>
            </w:r>
          </w:p>
        </w:tc>
      </w:tr>
      <w:tr>
        <w:trPr/>
        <w:tc>
          <w:tcPr>
            <w:tcW w:w="3768" w:type="dxa"/>
            <w:tcBorders/>
            <w:vAlign w:val="center"/>
          </w:tcPr>
          <w:p>
            <w:pPr>
              <w:pStyle w:val="TableContents"/>
              <w:bidi w:val="0"/>
              <w:spacing w:before="0" w:after="283"/>
              <w:jc w:val="left"/>
              <w:rPr/>
            </w:pPr>
            <w:r>
              <w:rPr/>
              <w:t>Government subsidy</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207,257</w:t>
            </w:r>
          </w:p>
        </w:tc>
        <w:tc>
          <w:tcPr>
            <w:tcW w:w="15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7,255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200,002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2,756.7</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pPr>
            <w:r>
              <w:rPr/>
              <w:t>Foreign currency exchange income</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67,395</w:t>
            </w:r>
          </w:p>
        </w:tc>
        <w:tc>
          <w:tcPr>
            <w:tcW w:w="15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425,308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(357,913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(84.2</w:t>
            </w:r>
          </w:p>
        </w:tc>
        <w:tc>
          <w:tcPr>
            <w:tcW w:w="173" w:type="dxa"/>
            <w:tcBorders/>
            <w:shd w:fill="CCEEFF" w:val="clear"/>
            <w:vAlign w:val="center"/>
          </w:tcPr>
          <w:p>
            <w:pPr>
              <w:pStyle w:val="TableContents"/>
              <w:bidi w:val="0"/>
              <w:spacing w:before="0" w:after="283"/>
              <w:jc w:val="left"/>
              <w:rPr/>
            </w:pPr>
            <w:r>
              <w:rPr/>
              <w:t>)</w:t>
            </w:r>
          </w:p>
        </w:tc>
      </w:tr>
      <w:tr>
        <w:trPr/>
        <w:tc>
          <w:tcPr>
            <w:tcW w:w="3768" w:type="dxa"/>
            <w:tcBorders/>
            <w:vAlign w:val="center"/>
          </w:tcPr>
          <w:p>
            <w:pPr>
              <w:pStyle w:val="TableContents"/>
              <w:bidi w:val="0"/>
              <w:spacing w:before="0" w:after="283"/>
              <w:jc w:val="left"/>
              <w:rPr/>
            </w:pPr>
            <w:r>
              <w:rPr/>
              <w:t>Financial and interest income, net</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tcMar>
              <w:bottom w:w="28" w:type="dxa"/>
            </w:tcMar>
            <w:vAlign w:val="center"/>
          </w:tcPr>
          <w:p>
            <w:pPr>
              <w:pStyle w:val="TableContents"/>
              <w:bidi w:val="0"/>
              <w:spacing w:before="0" w:after="283"/>
              <w:jc w:val="right"/>
              <w:rPr/>
            </w:pPr>
            <w:r>
              <w:rPr/>
              <w:t>10,538</w:t>
            </w:r>
          </w:p>
        </w:tc>
        <w:tc>
          <w:tcPr>
            <w:tcW w:w="15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tcMar>
              <w:bottom w:w="28" w:type="dxa"/>
            </w:tcMar>
            <w:vAlign w:val="center"/>
          </w:tcPr>
          <w:p>
            <w:pPr>
              <w:pStyle w:val="TableContents"/>
              <w:bidi w:val="0"/>
              <w:spacing w:before="0" w:after="283"/>
              <w:jc w:val="right"/>
              <w:rPr/>
            </w:pPr>
            <w:r>
              <w:rPr/>
              <w:t>67,636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(57,098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(84.4</w:t>
            </w:r>
          </w:p>
        </w:tc>
        <w:tc>
          <w:tcPr>
            <w:tcW w:w="173" w:type="dxa"/>
            <w:tcBorders/>
            <w:vAlign w:val="center"/>
          </w:tcPr>
          <w:p>
            <w:pPr>
              <w:pStyle w:val="TableContents"/>
              <w:bidi w:val="0"/>
              <w:spacing w:before="0" w:after="283"/>
              <w:jc w:val="left"/>
              <w:rPr/>
            </w:pPr>
            <w:r>
              <w:rPr/>
              <w:t>)</w:t>
            </w:r>
          </w:p>
        </w:tc>
      </w:tr>
      <w:tr>
        <w:trPr/>
        <w:tc>
          <w:tcPr>
            <w:tcW w:w="3768" w:type="dxa"/>
            <w:tcBorders/>
            <w:shd w:fill="CCEEFF" w:val="clear"/>
            <w:vAlign w:val="center"/>
          </w:tcPr>
          <w:p>
            <w:pPr>
              <w:pStyle w:val="TableContents"/>
              <w:bidi w:val="0"/>
              <w:spacing w:before="0" w:after="283"/>
              <w:jc w:val="left"/>
              <w:rPr>
                <w:b/>
              </w:rPr>
            </w:pPr>
            <w:r>
              <w:rPr>
                <w:b/>
              </w:rPr>
              <w:t>Total other income</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285,724</w:t>
            </w:r>
          </w:p>
        </w:tc>
        <w:tc>
          <w:tcPr>
            <w:tcW w:w="15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464,690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(178,966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b/>
              </w:rPr>
            </w:pPr>
            <w:r>
              <w:rPr>
                <w:b/>
              </w:rPr>
              <w:t>(38.5</w:t>
            </w:r>
          </w:p>
        </w:tc>
        <w:tc>
          <w:tcPr>
            <w:tcW w:w="173" w:type="dxa"/>
            <w:tcBorders/>
            <w:shd w:fill="CCEEFF" w:val="clear"/>
            <w:vAlign w:val="center"/>
          </w:tcPr>
          <w:p>
            <w:pPr>
              <w:pStyle w:val="TableContents"/>
              <w:bidi w:val="0"/>
              <w:spacing w:before="0" w:after="283"/>
              <w:jc w:val="left"/>
              <w:rPr>
                <w:b/>
              </w:rPr>
            </w:pPr>
            <w:r>
              <w:rPr>
                <w:b/>
              </w:rPr>
              <w:t>)</w:t>
            </w:r>
          </w:p>
        </w:tc>
      </w:tr>
      <w:tr>
        <w:trPr/>
        <w:tc>
          <w:tcPr>
            <w:tcW w:w="37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b/>
              </w:rPr>
            </w:pPr>
            <w:r>
              <w:rPr>
                <w:b/>
              </w:rPr>
              <w:t>Loss before income tax benefit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b/>
              </w:rPr>
            </w:pPr>
            <w:r>
              <w:rPr>
                <w:b/>
              </w:rPr>
              <w:t>(1,680,967</w:t>
            </w:r>
          </w:p>
        </w:tc>
        <w:tc>
          <w:tcPr>
            <w:tcW w:w="152" w:type="dxa"/>
            <w:tcBorders/>
            <w:shd w:fill="CCEEFF" w:val="clear"/>
            <w:vAlign w:val="center"/>
          </w:tcPr>
          <w:p>
            <w:pPr>
              <w:pStyle w:val="TableContents"/>
              <w:bidi w:val="0"/>
              <w:spacing w:before="0" w:after="283"/>
              <w:jc w:val="left"/>
              <w:rPr>
                <w:b/>
              </w:rPr>
            </w:pPr>
            <w:r>
              <w:rPr>
                <w:b/>
              </w:rPr>
              <w:t>)</w:t>
            </w:r>
          </w:p>
        </w:tc>
        <w:tc>
          <w:tcPr>
            <w:tcW w:w="10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b/>
              </w:rPr>
            </w:pPr>
            <w:r>
              <w:rPr>
                <w:b/>
              </w:rPr>
              <w:t>(1,381,499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(299,468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b/>
              </w:rPr>
            </w:pPr>
            <w:r>
              <w:rPr>
                <w:b/>
              </w:rPr>
              <w:t>21.7</w:t>
            </w:r>
          </w:p>
        </w:tc>
        <w:tc>
          <w:tcPr>
            <w:tcW w:w="173" w:type="dxa"/>
            <w:tcBorders/>
            <w:shd w:fill="CCEEFF" w:val="clear"/>
            <w:vAlign w:val="center"/>
          </w:tcPr>
          <w:p>
            <w:pPr>
              <w:pStyle w:val="TableContents"/>
              <w:bidi w:val="0"/>
              <w:spacing w:before="0" w:after="283"/>
              <w:jc w:val="left"/>
              <w:rPr/>
            </w:pPr>
            <w:r>
              <w:rPr/>
              <w:t> </w:t>
            </w:r>
          </w:p>
        </w:tc>
      </w:tr>
      <w:tr>
        <w:trPr/>
        <w:tc>
          <w:tcPr>
            <w:tcW w:w="3768"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tcMar>
              <w:bottom w:w="28" w:type="dxa"/>
            </w:tcMar>
            <w:vAlign w:val="center"/>
          </w:tcPr>
          <w:p>
            <w:pPr>
              <w:pStyle w:val="TableContents"/>
              <w:bidi w:val="0"/>
              <w:spacing w:before="0" w:after="283"/>
              <w:jc w:val="right"/>
              <w:rPr/>
            </w:pPr>
            <w:r>
              <w:rPr/>
              <w:t>270,502</w:t>
            </w:r>
          </w:p>
        </w:tc>
        <w:tc>
          <w:tcPr>
            <w:tcW w:w="15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tcMar>
              <w:bottom w:w="28" w:type="dxa"/>
            </w:tcMar>
            <w:vAlign w:val="center"/>
          </w:tcPr>
          <w:p>
            <w:pPr>
              <w:pStyle w:val="TableContents"/>
              <w:bidi w:val="0"/>
              <w:spacing w:before="0" w:after="283"/>
              <w:jc w:val="right"/>
              <w:rPr/>
            </w:pPr>
            <w:r>
              <w:rPr/>
              <w:t>86,336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184,166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213.3</w:t>
            </w:r>
          </w:p>
        </w:tc>
        <w:tc>
          <w:tcPr>
            <w:tcW w:w="173" w:type="dxa"/>
            <w:tcBorders/>
            <w:vAlign w:val="center"/>
          </w:tcPr>
          <w:p>
            <w:pPr>
              <w:pStyle w:val="TableContents"/>
              <w:bidi w:val="0"/>
              <w:spacing w:before="0" w:after="283"/>
              <w:jc w:val="left"/>
              <w:rPr/>
            </w:pPr>
            <w:r>
              <w:rPr/>
              <w:t> </w:t>
            </w:r>
          </w:p>
        </w:tc>
      </w:tr>
      <w:tr>
        <w:trPr/>
        <w:tc>
          <w:tcPr>
            <w:tcW w:w="3768"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(1,410,465</w:t>
            </w:r>
          </w:p>
        </w:tc>
        <w:tc>
          <w:tcPr>
            <w:tcW w:w="152" w:type="dxa"/>
            <w:tcBorders/>
            <w:shd w:fill="CCEEFF" w:val="clear"/>
            <w:vAlign w:val="center"/>
          </w:tcPr>
          <w:p>
            <w:pPr>
              <w:pStyle w:val="TableContents"/>
              <w:bidi w:val="0"/>
              <w:spacing w:before="0" w:after="283"/>
              <w:jc w:val="left"/>
              <w:rPr>
                <w:b/>
              </w:rPr>
            </w:pPr>
            <w:r>
              <w:rPr>
                <w:b/>
              </w:rPr>
              <w:t>)</w:t>
            </w:r>
          </w:p>
        </w:tc>
        <w:tc>
          <w:tcPr>
            <w:tcW w:w="109"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(1,295,163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(115,302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b/>
              </w:rPr>
            </w:pPr>
            <w:r>
              <w:rPr>
                <w:b/>
              </w:rPr>
              <w:t>8.9</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revenue primarily from the sales of both OEM and ODM interconnect products, including connectors, cables and wire harnesses, to manufacturing companies and EMS companies that procure and assemble products on behalf of manufacturing companies. For the fiscal years ended March 31, 2025 and 2024, our total revenue was US$17.63 million and US$14.75 million, respectively. During these periods, we derived all of our revenue from sales in Europe, Asia, the Americas, and 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increased by 19.5%, from US$14.75 million for the fiscal year ended March 31, 2024 to US$17.63 million for the fiscal year ended March 31, 2025. The increase was primarily attributable to a 37.1% increase in the total sales volume from approximately 22.86 million units for the fiscal year ended March 31, 2024 to approximately 31.34 million units for the fiscal year ended March 31, 2025, which was partially offset by a 12.8% decrease in the average selling price of our products from US$0.65 per unit for the fiscal year ended March 31, 2024 to US$0.56 per unit for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sales to our top ten customers increased from US$9.08 million in the fiscal year ended March 31, 2024 to US$10.68 million in the fiscal year ended March 31, 2025, which is consistent with the increase in our total revenue. Many of our major customers are global name-brand manufacturers, such as Linak A/S, Danfoss, and Bitzer, and our relationships with many of our major customers date back many years. For the fiscal years ended March 31, 2025 and 2024, sales to our top customers accounted for a significant portion of our total revenue and represented 60.6% and 61.6% of our total revenue, respectively. However, as the Company continues to develop new customers and expand into more markets, such customer concentration may diminish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revenue by our interconnect products for the indicated periods.</w:t>
      </w:r>
    </w:p>
    <w:p>
      <w:pPr>
        <w:pStyle w:val="TextBody"/>
        <w:bidi w:val="0"/>
        <w:spacing w:before="0" w:after="0"/>
        <w:ind w:left="0" w:right="0" w:hanging="0"/>
        <w:jc w:val="both"/>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2270"/>
        <w:gridCol w:w="90"/>
        <w:gridCol w:w="170"/>
        <w:gridCol w:w="1130"/>
        <w:gridCol w:w="90"/>
        <w:gridCol w:w="90"/>
        <w:gridCol w:w="90"/>
        <w:gridCol w:w="590"/>
        <w:gridCol w:w="90"/>
        <w:gridCol w:w="90"/>
        <w:gridCol w:w="170"/>
        <w:gridCol w:w="1130"/>
        <w:gridCol w:w="90"/>
        <w:gridCol w:w="90"/>
        <w:gridCol w:w="90"/>
        <w:gridCol w:w="590"/>
        <w:gridCol w:w="90"/>
        <w:gridCol w:w="90"/>
        <w:gridCol w:w="170"/>
        <w:gridCol w:w="1010"/>
        <w:gridCol w:w="90"/>
        <w:gridCol w:w="90"/>
        <w:gridCol w:w="90"/>
        <w:gridCol w:w="470"/>
        <w:gridCol w:w="135"/>
      </w:tblGrid>
      <w:tr>
        <w:trPr/>
        <w:tc>
          <w:tcPr>
            <w:tcW w:w="2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5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60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Cable and wire harness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16,385,705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13,626,836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2,758,869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20.2</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Connectors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1,245,784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1,121,715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124,069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tcMar>
              <w:bottom w:w="28" w:type="dxa"/>
            </w:tcMar>
            <w:vAlign w:val="center"/>
          </w:tcPr>
          <w:p>
            <w:pPr>
              <w:pStyle w:val="TableContents"/>
              <w:bidi w:val="0"/>
              <w:spacing w:before="0" w:after="283"/>
              <w:jc w:val="right"/>
              <w:rPr/>
            </w:pPr>
            <w:r>
              <w:rPr/>
              <w:t>11.1</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17,631,489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14,748,551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2,882,938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2025, our revenue generated from cables and wire harnesses increased by 20.2%, from US$13.63 million for the fiscal year ended March 31, 2024 to US$16.39 million for the fiscal year ended March 31, 2025. The increase in sales of cables and wire harnesses was primarily attributable to the increase in sales volume, which was partially offset by the decrease in the overall average selling prices of our cables and wire harness products. Compared with the fiscal year ended March 31, 2024, our sales volume of cables and wire harnesses increased by 33.9% from approximately 9.54 million units in the fiscal year ended March 31, 2024 to approximately 12.77 million units in the fiscal year ended March 31, 2025, and our average selling prices decreased by 10.2% from US$1.43 per unit in the fiscal year ended March 31, 2024 to US$1.28 per unit in the fiscal year ended March 31, 2025. The increase in demand was primarily attributable to the fact that our customers had drawn down on their previously purchased inventories, resulting in a subsequent increase in their purchase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connectors accounted for 7.1% of our total revenue and increased by 11.1% from US$1.12 million for the fiscal year ended March 31, 2024 to US$1.25 million for the fiscal year ended March 31, 2025. The increase was primarily attributable to the increase in sales volume, which was partially offset by the decrease in the overall average selling prices of our connectors. Compared with the fiscal year ended March 31, 2024, our sales volume of connectors increased by 39.4% from approximately 13.33 million units in the fiscal year ended March 31, 2024 to approximately 18.57 million units in the fiscal year ended March 31, 2025, and our average selling prices decreased by 20.3% from US$0.08 per unit in the fiscal year ended March 31, 2024 to US$0.07 per unit in the fiscal year ended March 31, 2025. The increase in demand was primarily attributable to the fact that our customers had drawn down on their previously purchased inventories, prompting a rebound in purchase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revenue for the fiscal years ended March 31, 2025 and 2024 was generated from sales of our products to customers located in Europe, Asia, the Americas, and Australia. The following table sets forth the disaggregation of our revenue by region:</w:t>
      </w:r>
    </w:p>
    <w:p>
      <w:pPr>
        <w:pStyle w:val="TextBody"/>
        <w:bidi w:val="0"/>
        <w:spacing w:before="0" w:after="0"/>
        <w:ind w:left="0" w:right="0" w:hanging="0"/>
        <w:jc w:val="both"/>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1400"/>
        <w:gridCol w:w="90"/>
        <w:gridCol w:w="170"/>
        <w:gridCol w:w="1130"/>
        <w:gridCol w:w="90"/>
        <w:gridCol w:w="90"/>
        <w:gridCol w:w="90"/>
        <w:gridCol w:w="590"/>
        <w:gridCol w:w="90"/>
        <w:gridCol w:w="90"/>
        <w:gridCol w:w="170"/>
        <w:gridCol w:w="1130"/>
        <w:gridCol w:w="90"/>
        <w:gridCol w:w="90"/>
        <w:gridCol w:w="90"/>
        <w:gridCol w:w="470"/>
        <w:gridCol w:w="90"/>
        <w:gridCol w:w="90"/>
        <w:gridCol w:w="170"/>
        <w:gridCol w:w="1010"/>
        <w:gridCol w:w="125"/>
        <w:gridCol w:w="90"/>
        <w:gridCol w:w="90"/>
        <w:gridCol w:w="470"/>
        <w:gridCol w:w="170"/>
      </w:tblGrid>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3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51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pPr>
            <w:r>
              <w:rPr/>
              <w:t>Europe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10,991,905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8,523,788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2,468,117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29.0</w:t>
            </w:r>
          </w:p>
        </w:tc>
        <w:tc>
          <w:tcPr>
            <w:tcW w:w="17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Asia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5,336,247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4,843,082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493,165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10.2</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pPr>
            <w:r>
              <w:rPr/>
              <w:t>The Americas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1,303,337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1,381,681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(78,344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70" w:type="dxa"/>
            <w:tcBorders/>
            <w:shd w:fill="CCEEFF" w:val="clear"/>
            <w:vAlign w:val="center"/>
          </w:tcPr>
          <w:p>
            <w:pPr>
              <w:pStyle w:val="TableContents"/>
              <w:bidi w:val="0"/>
              <w:spacing w:before="0" w:after="283"/>
              <w:jc w:val="left"/>
              <w:rPr/>
            </w:pPr>
            <w:r>
              <w:rPr/>
              <w:t>)</w:t>
            </w:r>
          </w:p>
        </w:tc>
      </w:tr>
      <w:tr>
        <w:trPr/>
        <w:tc>
          <w:tcPr>
            <w:tcW w:w="140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17,631,489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14,748,551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b/>
              </w:rPr>
            </w:pPr>
            <w:r>
              <w:rPr>
                <w:b/>
              </w:rPr>
              <w:t>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2,882,938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tcMar>
              <w:bottom w:w="28" w:type="dxa"/>
            </w:tcMar>
            <w:vAlign w:val="center"/>
          </w:tcPr>
          <w:p>
            <w:pPr>
              <w:pStyle w:val="TableContents"/>
              <w:bidi w:val="0"/>
              <w:spacing w:before="0" w:after="283"/>
              <w:jc w:val="right"/>
              <w:rPr>
                <w:b/>
              </w:rPr>
            </w:pPr>
            <w:r>
              <w:rPr>
                <w:b/>
              </w:rPr>
              <w:t>19.5</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Europe increased by 29.0%, from US$8.52 million for the fiscal year ended March 31, 2024 to US$10.99 million for the fiscal year ended March 31, 2025. The increase was primarily attributable to (i) an increase in sales in Denmark of US$2.02 million, from US$6.04 million for the fiscal year ended March 31, 2024, to US$8.06 million for the fiscal year ended March 31, 2025, (ii) an increase in sales in Bulgaria of US$0.32 million, from US$0.57 million for the fiscal year ended March 31, 2024, to US$0.89 million for the fiscal year ended March 31, 2025, and (iii) an increase in sales in Poland of US$0.11 million, from US$0.16 million for the fiscal year ended March 31, 2024, to US$0.27 million for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Asia increased by 10.2%, from US$4.84 million for the fiscal year ended March 31, 2024, to US$5.34 million for the fiscal year ended March 31, 2025. This increase was primarily driven by a sales increase in the Association of Southeast Asian Nations, or ASEAN, of US$0.46 million and a sales increase in Mainland China of US$0.26 million, partially offset by a sales decrease in Hong Kong, China of US$0.22 million. The growth in ASEAN was mainly attributable to rising demand driven by regional economic development, which resulted in higher sales of products such as connectors and cables. The increase in Mainland China was primarily driven by a recovery in customer purchasing activity, as customers had utilized previously procured inventories and subsequently resumed order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the Americas decreased by 5.7%, from US$1.38 million for the fiscal year ended March 31, 2024, to US$1.30 million for the fiscal year ended March 31, 2025, which was primarily due to a sales decrease in North America of US$0.08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primarily consists of the following: (i) inventory costs, which primarily include procurement costs for components for the manufacture of our products, including 1) cables and plastics, including single wires, insulation tubes, standard connectors, plastic fabricated parts, 2) metal parts, including metal shells, metal terminals, metal fabricated parts, and 3) electronic parts, including printed circuit boards, LEDs, resistors, capacitors, transistors, inductors, thermistors, potentiometers, ferrite cores, switches, and semiconductors; (ii) labor costs, which consist of salaries and benefits of employees; (iii) rental expenses for the factory and dormitory of employees; (iv) depreciation expenses on our plant, property and equipment used for production; and (v) other expenses that are directly attributable to our principal operations, which primarily include freight charges for materials and components, and electricity and water used for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increased by US$1.82 million, or 16.8%, from US$10.83 million for the fiscal year ended March 31, 2024 to US$12.65 million for the fiscal year ended March 31, 2025, which was generally in line with the increase in total revenue. The increase was primarily due to the following: (i) an increase in our inventory costs from US$7.34 million for the fiscal year ended March 31, 2024 to US$8.58 million for the fiscal year ended March 31, 2025, and (ii) an increase in our labor costs from US$2.49 million for the fiscal year ended March 31, 2024 to US$3.07 million for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inventory costs represented a significant portion of our cost of revenue. For the fiscal years ended March 31, 2025 and 2024, our inventory costs amounted to US$8.58 million and US$7.34 million, respectively, representing 67.8% and 67.8% of our total cost of revenue for the respective periods. The increase in our inventory costs was primarily due to a 37.1% increase in total sales volume from approximately 22.86 million units in the fiscal year ended March 31, 2024 to approximately 31.34 million units in the fiscal year ended March 31, 2025. This increase was partially offset by a 14.7% decrease in inventory cost per unit from US$0.32 in the fiscal year ended March 31, 2024 to US$0.27 in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2025 and 2024, our labor costs amounted to US$3.07 million and US$2.49 million, respectively, representing 24.3% and 23.0% of our total cost of revenue for the respective periods. The increase in labor costs was mainly attributable to higher production volumes driven by increased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and Gross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represents our revenue less cost of revenue. Our gross profit margin represents our gross profit as a percentage of our revenue. For the fiscal years ended March 31, 2025 and 2024, our gross profit was US$4.98 million and US$3.92 million, respectively, and our gross profit margin was 28.3% and 26.6%,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overall gross profit margin of the Company:</w:t>
      </w:r>
    </w:p>
    <w:p>
      <w:pPr>
        <w:pStyle w:val="TextBody"/>
        <w:bidi w:val="0"/>
        <w:spacing w:before="0" w:after="0"/>
        <w:ind w:left="0" w:right="0" w:hanging="0"/>
        <w:jc w:val="both"/>
        <w:rPr>
          <w:caps w:val="false"/>
          <w:smallCaps w:val="false"/>
        </w:rPr>
      </w:pPr>
      <w:r>
        <w:rPr>
          <w:caps w:val="false"/>
          <w:smallCaps w:val="false"/>
        </w:rPr>
        <w:t> </w:t>
      </w:r>
    </w:p>
    <w:tbl>
      <w:tblPr>
        <w:tblW w:w="9135" w:type="dxa"/>
        <w:jc w:val="left"/>
        <w:tblInd w:w="0" w:type="dxa"/>
        <w:tblLayout w:type="fixed"/>
        <w:tblCellMar>
          <w:top w:w="0" w:type="dxa"/>
          <w:left w:w="0" w:type="dxa"/>
          <w:bottom w:w="0" w:type="dxa"/>
          <w:right w:w="0" w:type="dxa"/>
        </w:tblCellMar>
      </w:tblPr>
      <w:tblGrid>
        <w:gridCol w:w="1565"/>
        <w:gridCol w:w="90"/>
        <w:gridCol w:w="170"/>
        <w:gridCol w:w="1205"/>
        <w:gridCol w:w="125"/>
        <w:gridCol w:w="90"/>
        <w:gridCol w:w="90"/>
        <w:gridCol w:w="590"/>
        <w:gridCol w:w="320"/>
        <w:gridCol w:w="90"/>
        <w:gridCol w:w="170"/>
        <w:gridCol w:w="1205"/>
        <w:gridCol w:w="125"/>
        <w:gridCol w:w="90"/>
        <w:gridCol w:w="90"/>
        <w:gridCol w:w="545"/>
        <w:gridCol w:w="320"/>
        <w:gridCol w:w="90"/>
        <w:gridCol w:w="170"/>
        <w:gridCol w:w="1085"/>
        <w:gridCol w:w="125"/>
        <w:gridCol w:w="90"/>
        <w:gridCol w:w="90"/>
        <w:gridCol w:w="470"/>
        <w:gridCol w:w="135"/>
      </w:tblGrid>
      <w:tr>
        <w:trPr/>
        <w:tc>
          <w:tcPr>
            <w:tcW w:w="15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90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34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3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17,631,489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100.0</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14,748,551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100</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2,882,938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19.5</w:t>
            </w:r>
          </w:p>
        </w:tc>
        <w:tc>
          <w:tcPr>
            <w:tcW w:w="13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(12,647,287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(71.7</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(10,825,943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(73.4</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(1,821,344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16.8</w:t>
            </w:r>
          </w:p>
        </w:tc>
        <w:tc>
          <w:tcPr>
            <w:tcW w:w="13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4,984,202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28.3</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3,922,608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26.6</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1,061,594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27.1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margin increased slightly compared to the prior fiscal year, primarily due to a reduction in fixed costs per unit. This reduction was driven by a 37.1% increase in total sales volume, which rose from 22.86 million units in the fiscal year ended March 31, 2024 to 31.34 million units in the fiscal year ended March 31, 2025. The increase in sales volume was primarily attributable to increased customer orders as previously purchased inventories were depleted.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0"/>
        <w:gridCol w:w="90"/>
        <w:gridCol w:w="170"/>
        <w:gridCol w:w="1085"/>
        <w:gridCol w:w="125"/>
        <w:gridCol w:w="90"/>
        <w:gridCol w:w="90"/>
        <w:gridCol w:w="545"/>
        <w:gridCol w:w="125"/>
        <w:gridCol w:w="90"/>
        <w:gridCol w:w="170"/>
        <w:gridCol w:w="1085"/>
        <w:gridCol w:w="125"/>
        <w:gridCol w:w="90"/>
        <w:gridCol w:w="90"/>
        <w:gridCol w:w="545"/>
        <w:gridCol w:w="125"/>
        <w:gridCol w:w="90"/>
        <w:gridCol w:w="170"/>
        <w:gridCol w:w="1085"/>
        <w:gridCol w:w="125"/>
        <w:gridCol w:w="90"/>
        <w:gridCol w:w="90"/>
        <w:gridCol w:w="470"/>
        <w:gridCol w:w="135"/>
      </w:tblGrid>
      <w:tr>
        <w:trPr/>
        <w:tc>
          <w:tcPr>
            <w:tcW w:w="33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42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33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3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67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35" w:type="dxa"/>
            <w:tcBorders/>
            <w:vAlign w:val="center"/>
          </w:tcPr>
          <w:p>
            <w:pPr>
              <w:pStyle w:val="TableContents"/>
              <w:bidi w:val="0"/>
              <w:spacing w:before="0" w:after="283"/>
              <w:ind w:left="0" w:right="0" w:hanging="180"/>
              <w:jc w:val="left"/>
              <w:rPr/>
            </w:pPr>
            <w:r>
              <w:rPr/>
              <w:t> </w:t>
            </w:r>
          </w:p>
        </w:tc>
      </w:tr>
      <w:tr>
        <w:trPr/>
        <w:tc>
          <w:tcPr>
            <w:tcW w:w="3310"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(1,695,217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(1,039,882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(655,335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63.0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10"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(4,601,637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(26.1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(4,134,394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(28.0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(467,243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11.3</w:t>
            </w:r>
          </w:p>
        </w:tc>
        <w:tc>
          <w:tcPr>
            <w:tcW w:w="135" w:type="dxa"/>
            <w:tcBorders/>
            <w:vAlign w:val="center"/>
          </w:tcPr>
          <w:p>
            <w:pPr>
              <w:pStyle w:val="TableContents"/>
              <w:bidi w:val="0"/>
              <w:spacing w:before="0" w:after="283"/>
              <w:ind w:left="0" w:right="0" w:hanging="180"/>
              <w:jc w:val="left"/>
              <w:rPr/>
            </w:pPr>
            <w:r>
              <w:rPr/>
              <w:t> </w:t>
            </w:r>
          </w:p>
        </w:tc>
      </w:tr>
      <w:tr>
        <w:trPr/>
        <w:tc>
          <w:tcPr>
            <w:tcW w:w="3310"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(654,039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(594,521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(59,518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10.0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1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(6,950,893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b/>
              </w:rPr>
            </w:pPr>
            <w:r>
              <w:rPr>
                <w:b/>
              </w:rPr>
              <w:t>(39.4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(5,768,797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b/>
              </w:rPr>
            </w:pPr>
            <w:r>
              <w:rPr>
                <w:b/>
              </w:rPr>
              <w:t>(39.1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(1,182,096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b/>
              </w:rPr>
            </w:pPr>
            <w:r>
              <w:rPr>
                <w:b/>
              </w:rPr>
              <w:t>20.5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primarily consist of: (i) marketing and entertainment expenses for promotion; (ii) staff costs, traveling expenses, rental and depreciation related to selling and marketing functions; (iii) freight fees and transportation fees; and (iv) office, utility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increased by 63.0%, or US$0.66 million, from US$1.04 million for the fiscal year ended March 31, 2024 to US$1.70 million for the fiscal year ended March 31, 2025. The increase was primarily attributable to: (i) an increase of US$0.57 million in market development costs for entering the ASEAN, American, and European markets; (ii) an increase of US$0.09 million in freight charges due to the increase in our sales volumes; and (iii) an increase of US$0.07 million in exhibition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(i) salaries and benefits for our administrative personnel; (ii) agent and professional fees related to our IPO, including both one-time IPO-related costs and recurring public company compliance expenses; (iii) expenses for office supplies and consumables; (iv) depreciation and amortization expenses relating to our property, plant and equipment and leased properties used for administrative purposes; and (v) other expenses, which primarily include utilities, traveling, entertainment, repair and maintenance, rental and other miscellaneous expenses for administrative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11.3%, or US$0.47 million, from US$4.13 million for the fiscal year ended March 31, 2024 to US$4.60 million for the fiscal year ended March 31, 2025, which was primarily attributable to the following: (i) an increase of US$0.43 million in agent and professional fees, primarily related to compliance and reporting obligations as a public company following our IPO in the U.S.; (ii) an increase of US$0.34 million in salaries and benefits, primarily attributable to higher compensation for our general and administrative personnel, as well as bonuses and celebration expenses incurred in connection with the successful completion of our IPO, partially offset by a reduction in travel expenses during the fiscal year ended March 31, 2025, due to the absence of non-recurring overseas trips in the prior year for IPO-related activities and business development; and (iii) a decrease of US$0.30 million in entertainment and related expenses, mainly due to the absence of non-recurring IPO celebration events and overseas business trips that contributed to entertainment costs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(“R&amp;D”)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consist of: (i) salaries, welfare and insurance expenses paid to R&amp;D employees; (ii) costs of materials and components for the research and development activities; and (iii) manufacturing expenses for producing samples related to our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increased by 10.0%, or US$0.06 million, from US$0.59 million for the fiscal year ended March 31, 2024 to US$0.65 million for the fiscal year ended March 31, 2025, primarily due to an increase of US$0.07 million in employee salaries, partially offset by a decrease of US$0.01 million in materials and components consumption.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primarily consists of: (i) government subsidy; (ii) non-recurring engineering charge paid by customers; (iii) other non-operating income/(expenses), net, inclusive of overtime expense compensation and material enhancement compensation paid by customers for early delivery orders; (iv) financial and interest income (expenses), inclusive of interest income and interest expenses; and (v) gains or losses on exchange rate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decreased by US$0.17 million from US$0.46 million for the fiscal year ended March 31, 2024 to US$0.29 million for the fiscal year ended March 31, 2025, which was primarily attributable to (i) a decrease in foreign currency exchange gain of US$0.36 million, and (ii) an increase of US$0.20 million in government subsidy, mainly from a “Little Giant” award granted by the Dongguan Municipal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in the Cayman Islands as an exempted company with limited liability under the Companies Act of the Cayman Islands and, accordingly, is not subject to income tax from business carried out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CCSC Group Limited, was incorporated under the laws of the British Virgin Islands (“BVI”) as a business company with limited liability under the BVI Business Companies Act and, accordingly, is not subject to income tax from business carried out in the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Inland Revenue (Amendment) (No. 3) Ordinance 2018 published by the Hong Kong government, effective April 1, 2018, under the two-tiered profits tax rates regime, the profits tax rate for the first HK$2 million of assessable profits was reduced to 8.25% for corporations, while the remaining profits will continue to be taxed at the existing 16.5% tax rate. CCSC Technology Group and CCSC Interconnect HK were subject to Hong Kong profits tax during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CCSC Technology Serbia, which was incorporated and is operated in Serbia, is subject to enterprise income tax on its worldwide taxable income, as determined under the tax laws and accounting standards, at a rate of 15%. CCSC Technology Serbia was not subject to any income tax, as it was only established in February 2024 and did not have taxable income during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CCSC Interconnect NL, which was incorporated and is operated in the Netherlands, is subject to enterprise income tax on its worldwide taxable income, as determined under the tax laws and accounting standards, at a rate of 19% (15% in 2022) for the first EUR200,000 (EUR395,000 in 2022) of profits earned by CCSC Interconnect NL, and the remaining profits will continue to be taxed at the existing 25.8% tax rate in 2025, 2024 and 2023. For the fiscal years ended March 31, 2025 and 2024, CCSC Interconnect NL was not subject to any income tax as it had no taxable income during these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our PRC subsidiary, CCSC Interconnect DG, is subject to enterprise income tax on its taxable income in China at a statutory rate of 25%; however, since CCSC Interconnect DG is certified as a High and New Technology Enterprise, or HNTE, it is eligible for a preferential enterprise income tax rate of 15%. The enterprise income tax is calculated based on the entity’s global income, as determined under the PRC laws and accounting standards. The HNTE accreditation may be renewed every three years. As of the date of this annual report, we are in the process of renewing the HNTE accreditation for CCSC Interconnect DG for years 2025-2027.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primarily subject to value-added tax at a rate of 13% on sales, in each case less any deductible value-added tax we have already paid or borne. We are also subject to surcharges on value-added tax payments in accordance with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our PRC subsidiary in China to our Hong Kong subsidiary, CCSC Technology Group, will be subject to a withholding tax rate of 10%, unless the relevant Hong Kong entity satisfies all the requirements under the Double Taxation Avoidance Arrangement and receives approval from the relevant tax authority. If CCSC Technology Group satisfies all the requirements under the tax arrangement and receives approval from the relevant tax authority, then the dividends paid to the Hong Kong subsidiary would be subject to withholding tax at the standard rate of 5%. Effective from November 1, 2015, the above-mentioned approval requirement was abolished, but a Hong Kong entity is still required to file an application package with the relevant tax authority, and settle the overdue taxes if the preferential 5% tax rate is denied based on the subsequent review of the application package by the relevant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any of our subsidiaries outside of China were deemed to be a “resident enterprise” under the PRC Enterprise Income Tax Law, the affected entity would be subject to enterprise income tax on its worldwide income at a rate of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the Notice on Improvements to Policies of Weighted Pre-tax Deduction of Research and Development Expenses, research and development expenses incurred by an enterprise in the course of carrying out research and development activities, to the extent such expenses have not formed intangible assets, are included in the profit and loss account for the current year. Starting from January 1, 2021, in addition to deducting the actual amount of research and development expenses incurred, an enterprise is allowed an additional deduction of 100% of such amount in calculating its taxable income for the relevant year, increased from 75% prior to 2021. For R&amp;D expenses that have formed intangible assets, the tax amortization is based on 200% of the costs of the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benefit increased from US$0.09 million for the fiscal year ended March 31, 2024 to US$0.27 million for the fiscal year ended March 31, 2025, which was primarily attributable to losses incurred by CCSC Interconnect DG and CCSC Interconnect HK in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increased by 8.9%, or US$0.11 million, from US$1.30 million for the fiscal year ended March 31, 2024 to US$1.41 million for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US$4.10 million in cash and restricted cash, which consisted of (i) cash in mainland China of US$1.22 million; (ii) cash in Hong Kong of US$2.15 million; (iii) cash and restricted cash in the Netherlands of US$0.21 million; and (iv) cash in Serbia of US$0.52 million. Under PRC laws, RMB can be converted into U.S. dollars under the Company’s “current account” (including dividends, trade and service-related foreign exchange transactions), rather than the “capital account” (including foreign direct investments and loans, without the prior approval of the SAFE). Payments of current account items, including profit distributions, interest payments, and trade and service-related foreign exchange transactions, can be made in foreign currencies without prior SAFE approval by complying with certain procedural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financed our operations primarily through cash generated from operations and with a portion of the net proceeds raised from our follow on public offering. We intend to continue relying on cash generated from our operations to support our future operations, and may consider seeking additional financing, such as public offering and bank loans, as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amounted to US$2.83 million and US$2.50 million as of March 31, 2026 and 2025, respectively. All accounts receivable balances as of March 31, 2025 have been fully collected as of the date of this annual report. Approximately 99.5%, or US$2.82 million, of the accounts receivable balances as of March 31, 2026 have been collected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a total inventory balance of US$2.30 million, which primarily included raw materials of US$1.38 million, to ensure sufficient raw materials were available to meet our production needs, and inventory in transit of US$0.67 million. The inventory in transit has since been fully settled when the customers received the products in the subsequent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we had a total inventory balance of US$1.76 million, which primarily included raw materials of US$0.81 million, to ensure sufficient raw materials were available to meet our production needs, and inventory in transit of US$0.57 million. The inventory in transit has since been fully settled when the customers received the products in the subsequent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working capital of US$5.69 million, as compared to working capital of US$5.18 million as of March 31, 2025. We believe that our current cash and our anticipated cash flows from operations will be sufficient to meet our anticipated working capital requirements, capital expenditures and debt repayment obligations for at least the next 12 months following the date on which our consolidated financial statements for the fiscal year ended March 31, 2026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Analysis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0"/>
        <w:gridCol w:w="90"/>
        <w:gridCol w:w="170"/>
        <w:gridCol w:w="1085"/>
        <w:gridCol w:w="125"/>
        <w:gridCol w:w="90"/>
        <w:gridCol w:w="170"/>
        <w:gridCol w:w="1085"/>
        <w:gridCol w:w="125"/>
        <w:gridCol w:w="90"/>
        <w:gridCol w:w="170"/>
        <w:gridCol w:w="1085"/>
        <w:gridCol w:w="125"/>
        <w:gridCol w:w="90"/>
        <w:gridCol w:w="90"/>
        <w:gridCol w:w="665"/>
        <w:gridCol w:w="170"/>
      </w:tblGrid>
      <w:tr>
        <w:trPr/>
        <w:tc>
          <w:tcPr>
            <w:tcW w:w="4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w:t>
              <w:b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4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4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16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70" w:type="dxa"/>
            <w:tcBorders/>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(4,507,975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(968,808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(3,539,167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365.3</w:t>
            </w:r>
          </w:p>
        </w:tc>
        <w:tc>
          <w:tcPr>
            <w:tcW w:w="170" w:type="dxa"/>
            <w:tcBorders/>
            <w:shd w:fill="CCEEFF" w:val="clear"/>
            <w:vAlign w:val="center"/>
          </w:tcPr>
          <w:p>
            <w:pPr>
              <w:pStyle w:val="TableContents"/>
              <w:bidi w:val="0"/>
              <w:spacing w:before="0" w:after="283"/>
              <w:jc w:val="left"/>
              <w:rPr/>
            </w:pPr>
            <w:r>
              <w:rPr/>
              <w:t> </w:t>
            </w:r>
          </w:p>
        </w:tc>
      </w:tr>
      <w:tr>
        <w:trPr/>
        <w:tc>
          <w:tcPr>
            <w:tcW w:w="478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(1,423,864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(890,490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(533,374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59.9</w:t>
            </w:r>
          </w:p>
        </w:tc>
        <w:tc>
          <w:tcPr>
            <w:tcW w:w="170" w:type="dxa"/>
            <w:tcBorders/>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283"/>
              <w:jc w:val="left"/>
              <w:rPr/>
            </w:pPr>
            <w:r>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6,295,310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(49,345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6,344,655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70" w:type="dxa"/>
            <w:tcBorders/>
            <w:shd w:fill="CCEEFF" w:val="clear"/>
            <w:vAlign w:val="center"/>
          </w:tcPr>
          <w:p>
            <w:pPr>
              <w:pStyle w:val="TableContents"/>
              <w:bidi w:val="0"/>
              <w:spacing w:before="0" w:after="283"/>
              <w:jc w:val="left"/>
              <w:rPr/>
            </w:pPr>
            <w:r>
              <w:rPr/>
              <w:t> </w:t>
            </w:r>
          </w:p>
        </w:tc>
      </w:tr>
      <w:tr>
        <w:trPr/>
        <w:tc>
          <w:tcPr>
            <w:tcW w:w="4780" w:type="dxa"/>
            <w:tcBorders/>
            <w:vAlign w:val="center"/>
          </w:tcPr>
          <w:p>
            <w:pPr>
              <w:pStyle w:val="TableContents"/>
              <w:bidi w:val="0"/>
              <w:spacing w:before="0" w:after="283"/>
              <w:jc w:val="left"/>
              <w:rPr/>
            </w:pPr>
            <w:r>
              <w:rPr/>
              <w:t>Effect of exchange rate changes on cash and restricted cash</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46,178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(131,648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177,826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(135.1</w:t>
            </w:r>
          </w:p>
        </w:tc>
        <w:tc>
          <w:tcPr>
            <w:tcW w:w="170" w:type="dxa"/>
            <w:tcBorders/>
            <w:vAlign w:val="center"/>
          </w:tcPr>
          <w:p>
            <w:pPr>
              <w:pStyle w:val="TableContents"/>
              <w:bidi w:val="0"/>
              <w:spacing w:before="0" w:after="283"/>
              <w:jc w:val="left"/>
              <w:rPr/>
            </w:pPr>
            <w:r>
              <w:rPr/>
              <w:t>)</w:t>
            </w:r>
          </w:p>
        </w:tc>
      </w:tr>
      <w:tr>
        <w:trPr/>
        <w:tc>
          <w:tcPr>
            <w:tcW w:w="4780" w:type="dxa"/>
            <w:tcBorders/>
            <w:shd w:fill="CCEEFF" w:val="clear"/>
            <w:vAlign w:val="center"/>
          </w:tcPr>
          <w:p>
            <w:pPr>
              <w:pStyle w:val="TableContents"/>
              <w:bidi w:val="0"/>
              <w:spacing w:before="0" w:after="283"/>
              <w:jc w:val="left"/>
              <w:rPr>
                <w:b/>
              </w:rPr>
            </w:pPr>
            <w:r>
              <w:rPr>
                <w:b/>
              </w:rPr>
              <w:t>Net change in cash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409,649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(2,040,291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2,449,940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(120.1</w:t>
            </w:r>
          </w:p>
        </w:tc>
        <w:tc>
          <w:tcPr>
            <w:tcW w:w="170" w:type="dxa"/>
            <w:tcBorders/>
            <w:shd w:fill="CCEEFF" w:val="clear"/>
            <w:vAlign w:val="center"/>
          </w:tcPr>
          <w:p>
            <w:pPr>
              <w:pStyle w:val="TableContents"/>
              <w:bidi w:val="0"/>
              <w:spacing w:before="0" w:after="283"/>
              <w:jc w:val="left"/>
              <w:rPr/>
            </w:pPr>
            <w:r>
              <w:rPr/>
              <w:t>)</w:t>
            </w:r>
          </w:p>
        </w:tc>
      </w:tr>
      <w:tr>
        <w:trPr/>
        <w:tc>
          <w:tcPr>
            <w:tcW w:w="4780" w:type="dxa"/>
            <w:tcBorders/>
            <w:vAlign w:val="center"/>
          </w:tcPr>
          <w:p>
            <w:pPr>
              <w:pStyle w:val="TableContents"/>
              <w:bidi w:val="0"/>
              <w:spacing w:before="0" w:after="283"/>
              <w:jc w:val="left"/>
              <w:rPr/>
            </w:pPr>
            <w:r>
              <w:rPr/>
              <w:t>Cash and restricted cash, beginning of the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3,694,456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5,734,747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(2,040,291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(35.6</w:t>
            </w:r>
          </w:p>
        </w:tc>
        <w:tc>
          <w:tcPr>
            <w:tcW w:w="170" w:type="dxa"/>
            <w:tcBorders/>
            <w:vAlign w:val="center"/>
          </w:tcPr>
          <w:p>
            <w:pPr>
              <w:pStyle w:val="TableContents"/>
              <w:bidi w:val="0"/>
              <w:spacing w:before="0" w:after="283"/>
              <w:jc w:val="left"/>
              <w:rPr/>
            </w:pPr>
            <w:r>
              <w:rPr/>
              <w:t>)</w:t>
            </w:r>
          </w:p>
        </w:tc>
      </w:tr>
      <w:tr>
        <w:trPr/>
        <w:tc>
          <w:tcPr>
            <w:tcW w:w="4780" w:type="dxa"/>
            <w:tcBorders/>
            <w:shd w:fill="CCEEFF" w:val="clear"/>
            <w:vAlign w:val="center"/>
          </w:tcPr>
          <w:p>
            <w:pPr>
              <w:pStyle w:val="TableContents"/>
              <w:bidi w:val="0"/>
              <w:spacing w:before="0" w:after="283"/>
              <w:jc w:val="left"/>
              <w:rPr/>
            </w:pPr>
            <w:r>
              <w:rPr/>
              <w:t>Cash and restricted cash,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4,104,105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3,694,456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409,649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11.1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0"/>
        <w:gridCol w:w="90"/>
        <w:gridCol w:w="170"/>
        <w:gridCol w:w="1085"/>
        <w:gridCol w:w="125"/>
        <w:gridCol w:w="90"/>
        <w:gridCol w:w="170"/>
        <w:gridCol w:w="1085"/>
        <w:gridCol w:w="125"/>
        <w:gridCol w:w="90"/>
        <w:gridCol w:w="170"/>
        <w:gridCol w:w="1085"/>
        <w:gridCol w:w="125"/>
        <w:gridCol w:w="90"/>
        <w:gridCol w:w="90"/>
        <w:gridCol w:w="665"/>
        <w:gridCol w:w="170"/>
      </w:tblGrid>
      <w:tr>
        <w:trPr/>
        <w:tc>
          <w:tcPr>
            <w:tcW w:w="4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w:t>
              <w:b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4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4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16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(Amounts expressed in U.S. dollars)</w:t>
            </w:r>
          </w:p>
        </w:tc>
        <w:tc>
          <w:tcPr>
            <w:tcW w:w="170" w:type="dxa"/>
            <w:tcBorders/>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(1,002,914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(2,528,503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1,525,589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(60.3</w:t>
            </w:r>
          </w:p>
        </w:tc>
        <w:tc>
          <w:tcPr>
            <w:tcW w:w="170" w:type="dxa"/>
            <w:tcBorders/>
            <w:shd w:fill="CCEEFF" w:val="clear"/>
            <w:vAlign w:val="center"/>
          </w:tcPr>
          <w:p>
            <w:pPr>
              <w:pStyle w:val="TableContents"/>
              <w:bidi w:val="0"/>
              <w:spacing w:before="0" w:after="283"/>
              <w:jc w:val="left"/>
              <w:rPr/>
            </w:pPr>
            <w:r>
              <w:rPr/>
              <w:t>)</w:t>
            </w:r>
          </w:p>
        </w:tc>
      </w:tr>
      <w:tr>
        <w:trPr/>
        <w:tc>
          <w:tcPr>
            <w:tcW w:w="478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(890,490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(3,825,787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2,935,297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(76.7</w:t>
            </w:r>
          </w:p>
        </w:tc>
        <w:tc>
          <w:tcPr>
            <w:tcW w:w="170" w:type="dxa"/>
            <w:tcBorders/>
            <w:vAlign w:val="center"/>
          </w:tcPr>
          <w:p>
            <w:pPr>
              <w:pStyle w:val="TableContents"/>
              <w:bidi w:val="0"/>
              <w:spacing w:before="0" w:after="283"/>
              <w:jc w:val="left"/>
              <w:rPr/>
            </w:pPr>
            <w:r>
              <w:rPr/>
              <w:t>)</w:t>
            </w:r>
          </w:p>
        </w:tc>
      </w:tr>
      <w:tr>
        <w:trPr/>
        <w:tc>
          <w:tcPr>
            <w:tcW w:w="4780" w:type="dxa"/>
            <w:tcBorders/>
            <w:shd w:fill="CCEEFF" w:val="clear"/>
            <w:vAlign w:val="center"/>
          </w:tcPr>
          <w:p>
            <w:pPr>
              <w:pStyle w:val="TableContents"/>
              <w:bidi w:val="0"/>
              <w:spacing w:before="0" w:after="283"/>
              <w:jc w:val="left"/>
              <w:rPr/>
            </w:pPr>
            <w:r>
              <w:rPr/>
              <w:t>Net cash (used in)/provided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(15,240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4,626,269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(4,641,509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(100.3</w:t>
            </w:r>
          </w:p>
        </w:tc>
        <w:tc>
          <w:tcPr>
            <w:tcW w:w="170" w:type="dxa"/>
            <w:tcBorders/>
            <w:shd w:fill="CCEEFF" w:val="clear"/>
            <w:vAlign w:val="center"/>
          </w:tcPr>
          <w:p>
            <w:pPr>
              <w:pStyle w:val="TableContents"/>
              <w:bidi w:val="0"/>
              <w:spacing w:before="0" w:after="283"/>
              <w:jc w:val="left"/>
              <w:rPr/>
            </w:pPr>
            <w:r>
              <w:rPr/>
              <w:t>)</w:t>
            </w:r>
          </w:p>
        </w:tc>
      </w:tr>
      <w:tr>
        <w:trPr/>
        <w:tc>
          <w:tcPr>
            <w:tcW w:w="4780" w:type="dxa"/>
            <w:tcBorders/>
            <w:vAlign w:val="center"/>
          </w:tcPr>
          <w:p>
            <w:pPr>
              <w:pStyle w:val="TableContents"/>
              <w:bidi w:val="0"/>
              <w:spacing w:before="0" w:after="283"/>
              <w:jc w:val="left"/>
              <w:rPr/>
            </w:pPr>
            <w:r>
              <w:rPr/>
              <w:t>Effect of exchange rate changes on cash and restricted cash</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(131,647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(254,847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123,200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(48.3</w:t>
            </w:r>
          </w:p>
        </w:tc>
        <w:tc>
          <w:tcPr>
            <w:tcW w:w="170" w:type="dxa"/>
            <w:tcBorders/>
            <w:vAlign w:val="center"/>
          </w:tcPr>
          <w:p>
            <w:pPr>
              <w:pStyle w:val="TableContents"/>
              <w:bidi w:val="0"/>
              <w:spacing w:before="0" w:after="283"/>
              <w:jc w:val="left"/>
              <w:rPr/>
            </w:pPr>
            <w:r>
              <w:rPr/>
              <w:t>)</w:t>
            </w:r>
          </w:p>
        </w:tc>
      </w:tr>
      <w:tr>
        <w:trPr/>
        <w:tc>
          <w:tcPr>
            <w:tcW w:w="4780" w:type="dxa"/>
            <w:tcBorders/>
            <w:shd w:fill="CCEEFF" w:val="clear"/>
            <w:vAlign w:val="center"/>
          </w:tcPr>
          <w:p>
            <w:pPr>
              <w:pStyle w:val="TableContents"/>
              <w:bidi w:val="0"/>
              <w:spacing w:before="0" w:after="283"/>
              <w:jc w:val="left"/>
              <w:rPr>
                <w:b/>
              </w:rPr>
            </w:pPr>
            <w:r>
              <w:rPr>
                <w:b/>
              </w:rPr>
              <w:t>Net change in cash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(2,040,291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(1,982,868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(57,423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2.9</w:t>
            </w:r>
          </w:p>
        </w:tc>
        <w:tc>
          <w:tcPr>
            <w:tcW w:w="170" w:type="dxa"/>
            <w:tcBorders/>
            <w:shd w:fill="CCEEFF" w:val="clear"/>
            <w:vAlign w:val="center"/>
          </w:tcPr>
          <w:p>
            <w:pPr>
              <w:pStyle w:val="TableContents"/>
              <w:bidi w:val="0"/>
              <w:spacing w:before="0" w:after="283"/>
              <w:jc w:val="left"/>
              <w:rPr/>
            </w:pPr>
            <w:r>
              <w:rPr/>
              <w:t> </w:t>
            </w:r>
          </w:p>
        </w:tc>
      </w:tr>
      <w:tr>
        <w:trPr/>
        <w:tc>
          <w:tcPr>
            <w:tcW w:w="4780" w:type="dxa"/>
            <w:tcBorders/>
            <w:vAlign w:val="center"/>
          </w:tcPr>
          <w:p>
            <w:pPr>
              <w:pStyle w:val="TableContents"/>
              <w:bidi w:val="0"/>
              <w:spacing w:before="0" w:after="283"/>
              <w:jc w:val="left"/>
              <w:rPr/>
            </w:pPr>
            <w:r>
              <w:rPr/>
              <w:t>Cash and restricted cash, beginning of the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5,734,747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7,717,615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(1,982,868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(25.7</w:t>
            </w:r>
          </w:p>
        </w:tc>
        <w:tc>
          <w:tcPr>
            <w:tcW w:w="170" w:type="dxa"/>
            <w:tcBorders/>
            <w:vAlign w:val="center"/>
          </w:tcPr>
          <w:p>
            <w:pPr>
              <w:pStyle w:val="TableContents"/>
              <w:bidi w:val="0"/>
              <w:spacing w:before="0" w:after="283"/>
              <w:jc w:val="left"/>
              <w:rPr/>
            </w:pPr>
            <w:r>
              <w:rPr/>
              <w:t>)</w:t>
            </w:r>
          </w:p>
        </w:tc>
      </w:tr>
      <w:tr>
        <w:trPr/>
        <w:tc>
          <w:tcPr>
            <w:tcW w:w="4780" w:type="dxa"/>
            <w:tcBorders/>
            <w:shd w:fill="CCEEFF" w:val="clear"/>
            <w:vAlign w:val="center"/>
          </w:tcPr>
          <w:p>
            <w:pPr>
              <w:pStyle w:val="TableContents"/>
              <w:bidi w:val="0"/>
              <w:spacing w:before="0" w:after="283"/>
              <w:jc w:val="left"/>
              <w:rPr/>
            </w:pPr>
            <w:r>
              <w:rPr/>
              <w:t>Cash and restricted cash,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3,694,456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5,734,747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(2,040,291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(35.6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our net cash used in operating activities was US$4.51 million, which was primarily attributable to (i) net loss of US$4.81 million, adjusted by depreciation and amortization of fixed assets and right-of-use assets of US$0.81 million, deferred tax expenses of US$0.55 million, foreign currency exchange loss of US$0.36 million and an inventory write-down of US$0.07 million; (ii) an increase of US$0.54 million in prepaid expenses and other current assets due to rising prepayments for professional service fees related to research and development as well as marketing and promotion activities; (iii) an increase of US$0.54 million in inventory due to higher purchases of raw materials to support upcoming sales orders; (iv) a decrease of US$0.54 million in operating lease liabilities; (v) a decrease of US$0.54 million in accrued expenses and other current liabilities primarily due to lower accrued payroll and employee benefits; and partially offset by (vi) an increase of US$0.87 million in accounts payable driven by longer payment terms offered by some of our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2025, our net cash used in operating activities was US$1.00 million, which was primarily attributable to (i) net loss of US$1.41 million, adjusted by an inventory write-down of US$0.13 million, depreciation and amortization of fixed assets and right-of-use assets of US$0.76 million, and deferred tax benefit of US$0.27 million; (ii) a decrease of US$0.53 million in operating lease liabilities; (iii) a decrease of US$0.36 million in accounts payable due to the settlement of prior purchase obligations; (iv) a decrease of US$0.23 million in accrued expenses and other current liabilities due to the decrease in accrued payroll and employee benefits; partially offset by (v) a decrease of US$0.41 million in prepaid expenses and other current assets due to the decrease in deductible value-added tax (“VAT”) input and income tax recoverable; (vi) a decrease of US$0.27 million in accounts receivable as a result of the increase in collections; and (vii) a decrease of US$0.26 million in other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2024, our net cash used in operating activities was US$2.53 million, which was primarily attributable to (i) net loss of US$1.30 million, adjusted by an inventory write-down of US$0.19 million, depreciation and amortization of fixed assets and right-of-use assets of US$0.75 million, and foreign currency exchange gains of US$0.23 million; (ii) an increase of US$0.7 million in prepaid expenses and other current assets due to the income tax prepayments to the Hong Kong tax authority; and (iii) an increase of US$0.5 million in accounts receivable due to the slow economic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used in investing activities was US$1.42 million, US$0.89 million, and US$3.83 million for the fiscal years ended March 31, 2026, 2025, and 2024, respectively. The cash flow in the fiscal year ended March 31, 2026 primarily reflected the purchase of property and equipment of US$0.86 million, including production mold and automated equipment, and the purchase of intangible assets of US$0.57 million related to the intelligent production platform for wiring harnesses. The cash flow in the fiscal year ended March 31, 2025 primarily reflected the purchase of land of US$0.52 million and the purchase of new equipment and software of US$0.37 million. The cash flow in the fiscal year ended March 31, 2024 primarily reflected the purchase of new equipment and software of US$0.19 million and prepayment of long-term equipment and mold model of US$3.64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our cash provided by financing activities was US$6.30 million, representing proceeds from the issuance of 11,766,627 Class A ordinary shares, net of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2025, our net cash used in financing activities was US$0.05 million, which was attributable to payments for the principal portion of financing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2024, our net cash provided by financing activities was US$4.63 million, which consisted of proceeds from issuance of ordinary shares, net of issuance cost of US$4.67 million and partially offset by repayments of long-term bank loans of US$0.04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were US$1.43 million, US$0.89 million, and US$3.80 million for the fiscal years ended March 31, 2026, 2025, and 2024, respectively. Our capital expenditures are used primarily for the purchase of machinery and equipment relating to the manufacture of 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Disclosure of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March 31, 2026:</w:t>
      </w:r>
    </w:p>
    <w:p>
      <w:pPr>
        <w:pStyle w:val="TextBody"/>
        <w:bidi w:val="0"/>
        <w:spacing w:before="0" w:after="0"/>
        <w:ind w:left="0" w:right="0" w:hanging="0"/>
        <w:jc w:val="both"/>
        <w:rPr>
          <w:caps w:val="false"/>
          <w:smallCaps w:val="false"/>
        </w:rPr>
      </w:pPr>
      <w:r>
        <w:rPr>
          <w:caps w:val="false"/>
          <w:smallCaps w:val="false"/>
        </w:rPr>
        <w:t> </w:t>
      </w:r>
    </w:p>
    <w:tbl>
      <w:tblPr>
        <w:tblW w:w="7059" w:type="dxa"/>
        <w:jc w:val="left"/>
        <w:tblInd w:w="0" w:type="dxa"/>
        <w:tblLayout w:type="fixed"/>
        <w:tblCellMar>
          <w:top w:w="0" w:type="dxa"/>
          <w:left w:w="0" w:type="dxa"/>
          <w:bottom w:w="0" w:type="dxa"/>
          <w:right w:w="0" w:type="dxa"/>
        </w:tblCellMar>
      </w:tblPr>
      <w:tblGrid>
        <w:gridCol w:w="1970"/>
        <w:gridCol w:w="90"/>
        <w:gridCol w:w="170"/>
        <w:gridCol w:w="1010"/>
        <w:gridCol w:w="90"/>
        <w:gridCol w:w="90"/>
        <w:gridCol w:w="170"/>
        <w:gridCol w:w="1010"/>
        <w:gridCol w:w="90"/>
        <w:gridCol w:w="90"/>
        <w:gridCol w:w="170"/>
        <w:gridCol w:w="830"/>
        <w:gridCol w:w="90"/>
        <w:gridCol w:w="90"/>
        <w:gridCol w:w="186"/>
        <w:gridCol w:w="778"/>
        <w:gridCol w:w="135"/>
      </w:tblGrid>
      <w:tr>
        <w:trPr/>
        <w:tc>
          <w:tcPr>
            <w:tcW w:w="1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Payment Due by Period</w:t>
            </w:r>
          </w:p>
        </w:tc>
        <w:tc>
          <w:tcPr>
            <w:tcW w:w="13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Less than </w:t>
              <w:br/>
              <w:t>1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3-5 years</w:t>
            </w:r>
          </w:p>
        </w:tc>
        <w:tc>
          <w:tcPr>
            <w:tcW w:w="13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(Amounts expressed in U.S.$)</w:t>
            </w:r>
          </w:p>
        </w:tc>
        <w:tc>
          <w:tcPr>
            <w:tcW w:w="13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Capital commitment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4,979,350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4,979,350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Lease obligations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1,037,339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643,235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384,064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tcMar>
              <w:bottom w:w="28" w:type="dxa"/>
            </w:tcMar>
            <w:vAlign w:val="center"/>
          </w:tcPr>
          <w:p>
            <w:pPr>
              <w:pStyle w:val="TableContents"/>
              <w:bidi w:val="0"/>
              <w:spacing w:before="0" w:after="283"/>
              <w:jc w:val="right"/>
              <w:rPr/>
            </w:pPr>
            <w:r>
              <w:rPr/>
              <w:t>10,040</w:t>
            </w:r>
          </w:p>
        </w:tc>
        <w:tc>
          <w:tcPr>
            <w:tcW w:w="13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6,016,689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5,622,585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384,064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10,040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consist of leases for certain offices, buildings, plants and other property used in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2022, we renewed leased plants whose original lease term expired on August 31, 2022 and extended the lease term for another five years to August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2023, we renewed leased equipment whose original lease terms expired on August 20, 2023 and extended the lease term for another five years to February 19, 2028. We will acquire ownership of such equipment upon maturity of the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renewed the lease for our production plants whose original lease term expired on November 30, 2025, and extended the lease term for another two years to November 30, 2027.</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24, 2024, we entered into a finance lease agreement for a vehicle with monthly payments through June 20, 2029. Ownership of the vehicle will transfer to us at lease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renewed leases discussed above resulted in increases in operating and finance right-of-use assets and liabilities, which are disclosed in Note 11 to our consolidated financial statements for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certain equipment purchase agreements with four independent third-party vendors, with future payments of US$2.09 million, US$0.82 million, US$0.22 million, and US$0.25 million, respectively. The payments of US$2.09 million and US$0.82 million had been extended until the completion of the Serbia manufacturing plant by December 2026. The US$0.22 million payment relates to the procurement of equipment for the intelligent production demonstration platform and is payable upon confirmation of acceptance of the platform, with payment expected to be made in 2026. The remaining payment of US$0.25 million for production equipment will be paid in installments according to the payment schedule and fully settled within 12 months subsequent to equipment testing and final acceptance, which is expected to be completed in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entered into a fixed-price construction contract for the manufacturing plant located in Serbia, with a future payment of US$1.60 million. The construction project is expected to be completed and ready for operational use in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shown above, we did not have any significant capital and other commitments, long-term obligations, or guarantees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interests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and sales office are located in HK, while we conduct the manufacturing of interconnect products through our PRC subsidiary located in mainland China. For the fiscal years ended March 31, 2026, 2025, and 2024, all of our revenue was generated by our HK and PRC subsidiaries, collectively. As such, our business, financial condition, and results of operations are subject to risks and uncertainties relating to political, economic, and legal environments in HK and mainland China, as well as the general state of the economy of HK and mainland China. Our financial results may be adversely affected by changes in the political, regulatory, and social conditions in HK and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critical accounting policies, which rely upon assumptions and estimates, were used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GAAP, which requires us to make judgments, estimates, and assumptions that affect (i) the reported amounts of our assets and liabilities; (ii) the disclosure of our contingent assets and liabilities at the end of each reporting period; and (iii) the reported amounts of revenues and expenses during each reporting period. We continually evaluate these judgments, estimates, and assumptions based on our own historical experience, knowledge, and assessment of current business and other conditions and our expectations regarding the future based on available information,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and (ii) income taxes. See “Summary of Significant Accounting Policies” under Note 2 to our consolidated financial statements for the disclosure of these accounting policies. We believe the following accounting estimates involve the most significant judgments used in the preparation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Estimates for inventory write-down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primarily consisting of raw materials, work in progress and finished goods, are stated at the lower of cost or net realizable value, with net realizable value represented by estimated selling prices in the ordinary course of business, less reasonably predictable costs of disposal and transportation. Cost of inventory is determined by using the weighted average cost method. Adjustments are recorded to write down the cost of inventory to the estimated net realizable value due to slow-moving merchandise, which is dependent upon factors such as historical and forecasted consumer demand. Inventories are written down to estimated net realizable value, which could be impacted by certain factors including historical usage, expected demand, anticipated sales price, new product development schedules, product obsolescence, and other factors. We review our inventories periodically to determine whether any reserves are necessary for potential shrinkage and obsolete or unusable inventory. For the years ended March 31, 2026, 2025, and 2024, we recorded $68,783, $128,241, and $188,268 of inventory write-downs from the carrying amount to their net realizable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 for the valuation allowance of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make estimates and apply our judgments in determining the provision for income tax expenses for financial reporting purposes based on tax laws in various jurisdictions in which we operate. In calculating the effective income tax rate, we make estimates and judgments, including the calculation of tax credits and the timing differences of recognition of revenues and expenses between financial reporting and tax reporting. These estimates and judgments may result in adjustments of pre-tax income amounts filed with local tax authorities in accordance with the local tax rules and regulations in various tax jurisdictions. Although we believe that our estimates and judgments are reasonable, actual results may be materially different from the estimated amounts. Changes in these estimates and judgments may result in a material increase or decrease in our provision for income tax expenses, which could be material to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recognized for expected future tax consequences of temporary differences between the financial reporting and tax bases of assets and liabilities, and for operating losses and tax credit carry forwards. A valuation allowance is recorded when it is more likely than not that some of the deferred tax assets will not be realized. When we determine and quantify the valuation allowances, we consider such factors as projected future taxable income, the availability of tax planning strategies, the historical taxable income/losses in prior years, and future reversals of existing taxable temporary differences. The assumptions used in determining projected future taxable income require significant judgment. Actual operating results in future years could differ from our current assumptions, judgments, and estimates. Changes in these estimates and assumptions may materially affect the tax position measurement and financial statement recognition. If, in the future, we determine that we would not be able to realize our recorded deferred tax assets, an increase in the valuation allowance would decrease our earnings in the period in which such determination is made. As of March 31, 2026 and 2025, we recorded $1,161,762 and $91,847 valuation allowance for the deferred tax assets,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recently issued accounting pronouncements that are relevant to us is included in Note 2 to our consolidated financial statements included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6045" w:type="dxa"/>
        <w:jc w:val="left"/>
        <w:tblInd w:w="0" w:type="dxa"/>
        <w:tblLayout w:type="fixed"/>
        <w:tblCellMar>
          <w:top w:w="0" w:type="dxa"/>
          <w:left w:w="0" w:type="dxa"/>
          <w:bottom w:w="28" w:type="dxa"/>
          <w:right w:w="0" w:type="dxa"/>
        </w:tblCellMar>
      </w:tblPr>
      <w:tblGrid>
        <w:gridCol w:w="2015"/>
        <w:gridCol w:w="90"/>
        <w:gridCol w:w="380"/>
        <w:gridCol w:w="90"/>
        <w:gridCol w:w="3470"/>
      </w:tblGrid>
      <w:tr>
        <w:trPr/>
        <w:tc>
          <w:tcPr>
            <w:tcW w:w="201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3470" w:type="dxa"/>
            <w:tcBorders>
              <w:bottom w:val="single" w:sz="12" w:space="0" w:color="000000"/>
            </w:tcBorders>
            <w:vAlign w:val="center"/>
          </w:tcPr>
          <w:p>
            <w:pPr>
              <w:pStyle w:val="TableContents"/>
              <w:bidi w:val="0"/>
              <w:spacing w:before="0" w:after="283"/>
              <w:jc w:val="center"/>
              <w:rPr>
                <w:b/>
                <w:sz w:val="20"/>
              </w:rPr>
            </w:pPr>
            <w:r>
              <w:rPr>
                <w:b/>
                <w:sz w:val="20"/>
              </w:rPr>
              <w:t>Position(s)</w:t>
            </w:r>
          </w:p>
        </w:tc>
      </w:tr>
      <w:tr>
        <w:trPr/>
        <w:tc>
          <w:tcPr>
            <w:tcW w:w="2015" w:type="dxa"/>
            <w:tcBorders/>
            <w:shd w:fill="CCEEFF" w:val="clear"/>
            <w:tcMar>
              <w:bottom w:w="0" w:type="dxa"/>
            </w:tcMar>
            <w:vAlign w:val="center"/>
          </w:tcPr>
          <w:p>
            <w:pPr>
              <w:pStyle w:val="TableContents"/>
              <w:bidi w:val="0"/>
              <w:spacing w:before="0" w:after="283"/>
              <w:jc w:val="both"/>
              <w:rPr>
                <w:sz w:val="20"/>
              </w:rPr>
            </w:pPr>
            <w:r>
              <w:rPr>
                <w:sz w:val="20"/>
              </w:rPr>
              <w:t>Chi Sing Chiu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70" w:type="dxa"/>
            <w:tcBorders/>
            <w:shd w:fill="CCEEFF" w:val="clear"/>
            <w:tcMar>
              <w:bottom w:w="0" w:type="dxa"/>
            </w:tcMar>
            <w:vAlign w:val="center"/>
          </w:tcPr>
          <w:p>
            <w:pPr>
              <w:pStyle w:val="TableContents"/>
              <w:bidi w:val="0"/>
              <w:spacing w:before="0" w:after="283"/>
              <w:jc w:val="both"/>
              <w:rPr>
                <w:sz w:val="20"/>
              </w:rPr>
            </w:pPr>
            <w:r>
              <w:rPr>
                <w:sz w:val="20"/>
              </w:rPr>
              <w:t>Chairman of the board, director</w:t>
            </w:r>
          </w:p>
        </w:tc>
      </w:tr>
      <w:tr>
        <w:trPr/>
        <w:tc>
          <w:tcPr>
            <w:tcW w:w="2015" w:type="dxa"/>
            <w:tcBorders/>
            <w:tcMar>
              <w:bottom w:w="0" w:type="dxa"/>
            </w:tcMar>
            <w:vAlign w:val="center"/>
          </w:tcPr>
          <w:p>
            <w:pPr>
              <w:pStyle w:val="TableContents"/>
              <w:bidi w:val="0"/>
              <w:spacing w:before="0" w:after="283"/>
              <w:jc w:val="both"/>
              <w:rPr>
                <w:sz w:val="20"/>
              </w:rPr>
            </w:pPr>
            <w:r>
              <w:rPr>
                <w:sz w:val="20"/>
              </w:rPr>
              <w:t>Kung Lok Chiu</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37</w:t>
            </w:r>
          </w:p>
        </w:tc>
        <w:tc>
          <w:tcPr>
            <w:tcW w:w="90" w:type="dxa"/>
            <w:tcBorders/>
            <w:tcMar>
              <w:bottom w:w="0" w:type="dxa"/>
            </w:tcMar>
            <w:vAlign w:val="center"/>
          </w:tcPr>
          <w:p>
            <w:pPr>
              <w:pStyle w:val="TableContents"/>
              <w:bidi w:val="0"/>
              <w:spacing w:before="0" w:after="283"/>
              <w:jc w:val="left"/>
              <w:rPr/>
            </w:pPr>
            <w:r>
              <w:rPr/>
              <w:t> </w:t>
            </w:r>
          </w:p>
        </w:tc>
        <w:tc>
          <w:tcPr>
            <w:tcW w:w="3470" w:type="dxa"/>
            <w:tcBorders/>
            <w:tcMar>
              <w:bottom w:w="0" w:type="dxa"/>
            </w:tcMar>
            <w:vAlign w:val="center"/>
          </w:tcPr>
          <w:p>
            <w:pPr>
              <w:pStyle w:val="TableContents"/>
              <w:bidi w:val="0"/>
              <w:spacing w:before="0" w:after="283"/>
              <w:jc w:val="both"/>
              <w:rPr>
                <w:sz w:val="20"/>
              </w:rPr>
            </w:pPr>
            <w:r>
              <w:rPr>
                <w:sz w:val="20"/>
              </w:rPr>
              <w:t>Chief Executive Officer (“CEO”), director</w:t>
            </w:r>
          </w:p>
        </w:tc>
      </w:tr>
      <w:tr>
        <w:trPr/>
        <w:tc>
          <w:tcPr>
            <w:tcW w:w="2015" w:type="dxa"/>
            <w:tcBorders/>
            <w:shd w:fill="CCEEFF" w:val="clear"/>
            <w:tcMar>
              <w:bottom w:w="0" w:type="dxa"/>
            </w:tcMar>
            <w:vAlign w:val="center"/>
          </w:tcPr>
          <w:p>
            <w:pPr>
              <w:pStyle w:val="TableContents"/>
              <w:bidi w:val="0"/>
              <w:spacing w:before="0" w:after="283"/>
              <w:jc w:val="both"/>
              <w:rPr>
                <w:sz w:val="20"/>
              </w:rPr>
            </w:pPr>
            <w:r>
              <w:rPr>
                <w:sz w:val="20"/>
              </w:rPr>
              <w:t>Kwok Kwan Chan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70" w:type="dxa"/>
            <w:tcBorders/>
            <w:shd w:fill="CCEEFF" w:val="clear"/>
            <w:tcMar>
              <w:bottom w:w="0" w:type="dxa"/>
            </w:tcMar>
            <w:vAlign w:val="center"/>
          </w:tcPr>
          <w:p>
            <w:pPr>
              <w:pStyle w:val="TableContents"/>
              <w:bidi w:val="0"/>
              <w:spacing w:before="0" w:after="283"/>
              <w:jc w:val="both"/>
              <w:rPr>
                <w:sz w:val="20"/>
              </w:rPr>
            </w:pPr>
            <w:r>
              <w:rPr>
                <w:sz w:val="20"/>
              </w:rPr>
              <w:t>Chief Operation Officer (“COO”)</w:t>
            </w:r>
          </w:p>
        </w:tc>
      </w:tr>
      <w:tr>
        <w:trPr/>
        <w:tc>
          <w:tcPr>
            <w:tcW w:w="2015" w:type="dxa"/>
            <w:tcBorders/>
            <w:tcMar>
              <w:bottom w:w="0" w:type="dxa"/>
            </w:tcMar>
            <w:vAlign w:val="center"/>
          </w:tcPr>
          <w:p>
            <w:pPr>
              <w:pStyle w:val="TableContents"/>
              <w:bidi w:val="0"/>
              <w:spacing w:before="0" w:after="283"/>
              <w:jc w:val="both"/>
              <w:rPr>
                <w:sz w:val="20"/>
              </w:rPr>
            </w:pPr>
            <w:r>
              <w:rPr>
                <w:sz w:val="20"/>
              </w:rPr>
              <w:t>Chee Hui Law</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47</w:t>
            </w:r>
          </w:p>
        </w:tc>
        <w:tc>
          <w:tcPr>
            <w:tcW w:w="90" w:type="dxa"/>
            <w:tcBorders/>
            <w:tcMar>
              <w:bottom w:w="0" w:type="dxa"/>
            </w:tcMar>
            <w:vAlign w:val="center"/>
          </w:tcPr>
          <w:p>
            <w:pPr>
              <w:pStyle w:val="TableContents"/>
              <w:bidi w:val="0"/>
              <w:spacing w:before="0" w:after="283"/>
              <w:jc w:val="left"/>
              <w:rPr/>
            </w:pPr>
            <w:r>
              <w:rPr/>
              <w:t> </w:t>
            </w:r>
          </w:p>
        </w:tc>
        <w:tc>
          <w:tcPr>
            <w:tcW w:w="3470" w:type="dxa"/>
            <w:tcBorders/>
            <w:tcMar>
              <w:bottom w:w="0" w:type="dxa"/>
            </w:tcMar>
            <w:vAlign w:val="center"/>
          </w:tcPr>
          <w:p>
            <w:pPr>
              <w:pStyle w:val="TableContents"/>
              <w:bidi w:val="0"/>
              <w:spacing w:before="0" w:after="283"/>
              <w:jc w:val="both"/>
              <w:rPr>
                <w:sz w:val="20"/>
              </w:rPr>
            </w:pPr>
            <w:r>
              <w:rPr>
                <w:sz w:val="20"/>
              </w:rPr>
              <w:t>Chief Finance Officer (“CFO”)</w:t>
            </w:r>
          </w:p>
        </w:tc>
      </w:tr>
      <w:tr>
        <w:trPr/>
        <w:tc>
          <w:tcPr>
            <w:tcW w:w="2015" w:type="dxa"/>
            <w:tcBorders/>
            <w:shd w:fill="CCEEFF" w:val="clear"/>
            <w:tcMar>
              <w:bottom w:w="0" w:type="dxa"/>
            </w:tcMar>
            <w:vAlign w:val="center"/>
          </w:tcPr>
          <w:p>
            <w:pPr>
              <w:pStyle w:val="TableContents"/>
              <w:bidi w:val="0"/>
              <w:spacing w:before="0" w:after="283"/>
              <w:jc w:val="both"/>
              <w:rPr>
                <w:sz w:val="20"/>
              </w:rPr>
            </w:pPr>
            <w:r>
              <w:rPr>
                <w:sz w:val="20"/>
              </w:rPr>
              <w:t>Chi Man Chan, William</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70" w:type="dxa"/>
            <w:tcBorders/>
            <w:shd w:fill="CCEEFF" w:val="clear"/>
            <w:tcMar>
              <w:bottom w:w="0" w:type="dxa"/>
            </w:tcMar>
            <w:vAlign w:val="center"/>
          </w:tcPr>
          <w:p>
            <w:pPr>
              <w:pStyle w:val="TableContents"/>
              <w:bidi w:val="0"/>
              <w:spacing w:before="0" w:after="283"/>
              <w:jc w:val="both"/>
              <w:rPr>
                <w:sz w:val="20"/>
              </w:rPr>
            </w:pPr>
            <w:r>
              <w:rPr>
                <w:sz w:val="20"/>
              </w:rPr>
              <w:t>Chief Sale Officer (“CSO”)</w:t>
            </w:r>
          </w:p>
        </w:tc>
      </w:tr>
      <w:tr>
        <w:trPr/>
        <w:tc>
          <w:tcPr>
            <w:tcW w:w="2015" w:type="dxa"/>
            <w:tcBorders/>
            <w:tcMar>
              <w:bottom w:w="0" w:type="dxa"/>
            </w:tcMar>
            <w:vAlign w:val="center"/>
          </w:tcPr>
          <w:p>
            <w:pPr>
              <w:pStyle w:val="TableContents"/>
              <w:bidi w:val="0"/>
              <w:spacing w:before="0" w:after="283"/>
              <w:jc w:val="both"/>
              <w:rPr>
                <w:sz w:val="20"/>
              </w:rPr>
            </w:pPr>
            <w:r>
              <w:rPr>
                <w:sz w:val="20"/>
              </w:rPr>
              <w:t>Jung Yi Chiu</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63</w:t>
            </w:r>
          </w:p>
        </w:tc>
        <w:tc>
          <w:tcPr>
            <w:tcW w:w="90" w:type="dxa"/>
            <w:tcBorders/>
            <w:tcMar>
              <w:bottom w:w="0" w:type="dxa"/>
            </w:tcMar>
            <w:vAlign w:val="center"/>
          </w:tcPr>
          <w:p>
            <w:pPr>
              <w:pStyle w:val="TableContents"/>
              <w:bidi w:val="0"/>
              <w:spacing w:before="0" w:after="283"/>
              <w:jc w:val="left"/>
              <w:rPr/>
            </w:pPr>
            <w:r>
              <w:rPr/>
              <w:t> </w:t>
            </w:r>
          </w:p>
        </w:tc>
        <w:tc>
          <w:tcPr>
            <w:tcW w:w="3470" w:type="dxa"/>
            <w:tcBorders/>
            <w:tcMar>
              <w:bottom w:w="0" w:type="dxa"/>
            </w:tcMar>
            <w:vAlign w:val="center"/>
          </w:tcPr>
          <w:p>
            <w:pPr>
              <w:pStyle w:val="TableContents"/>
              <w:bidi w:val="0"/>
              <w:spacing w:before="0" w:after="283"/>
              <w:jc w:val="both"/>
              <w:rPr>
                <w:sz w:val="20"/>
              </w:rPr>
            </w:pPr>
            <w:r>
              <w:rPr>
                <w:sz w:val="20"/>
              </w:rPr>
              <w:t>Chief Strategy Officer</w:t>
            </w:r>
          </w:p>
        </w:tc>
      </w:tr>
      <w:tr>
        <w:trPr/>
        <w:tc>
          <w:tcPr>
            <w:tcW w:w="2015" w:type="dxa"/>
            <w:tcBorders/>
            <w:shd w:fill="CCEEFF" w:val="clear"/>
            <w:tcMar>
              <w:bottom w:w="0" w:type="dxa"/>
            </w:tcMar>
            <w:vAlign w:val="center"/>
          </w:tcPr>
          <w:p>
            <w:pPr>
              <w:pStyle w:val="TableContents"/>
              <w:bidi w:val="0"/>
              <w:spacing w:before="0" w:after="283"/>
              <w:jc w:val="both"/>
              <w:rPr>
                <w:sz w:val="20"/>
              </w:rPr>
            </w:pPr>
            <w:r>
              <w:rPr>
                <w:sz w:val="20"/>
              </w:rPr>
              <w:t>Sin Ting Chiu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70" w:type="dxa"/>
            <w:tcBorders/>
            <w:shd w:fill="CCEEFF" w:val="clear"/>
            <w:tcMar>
              <w:bottom w:w="0" w:type="dxa"/>
            </w:tcMar>
            <w:vAlign w:val="center"/>
          </w:tcPr>
          <w:p>
            <w:pPr>
              <w:pStyle w:val="TableContents"/>
              <w:bidi w:val="0"/>
              <w:spacing w:before="0" w:after="283"/>
              <w:jc w:val="both"/>
              <w:rPr>
                <w:sz w:val="20"/>
              </w:rPr>
            </w:pPr>
            <w:r>
              <w:rPr>
                <w:sz w:val="20"/>
              </w:rPr>
              <w:t>Director</w:t>
            </w:r>
          </w:p>
        </w:tc>
      </w:tr>
      <w:tr>
        <w:trPr/>
        <w:tc>
          <w:tcPr>
            <w:tcW w:w="2015" w:type="dxa"/>
            <w:tcBorders/>
            <w:tcMar>
              <w:bottom w:w="0" w:type="dxa"/>
            </w:tcMar>
            <w:vAlign w:val="center"/>
          </w:tcPr>
          <w:p>
            <w:pPr>
              <w:pStyle w:val="TableContents"/>
              <w:bidi w:val="0"/>
              <w:spacing w:before="0" w:after="283"/>
              <w:jc w:val="both"/>
              <w:rPr>
                <w:sz w:val="20"/>
              </w:rPr>
            </w:pPr>
            <w:r>
              <w:rPr>
                <w:sz w:val="20"/>
              </w:rPr>
              <w:t>Wai Chun Tsang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71</w:t>
            </w:r>
          </w:p>
        </w:tc>
        <w:tc>
          <w:tcPr>
            <w:tcW w:w="90" w:type="dxa"/>
            <w:tcBorders/>
            <w:tcMar>
              <w:bottom w:w="0" w:type="dxa"/>
            </w:tcMar>
            <w:vAlign w:val="center"/>
          </w:tcPr>
          <w:p>
            <w:pPr>
              <w:pStyle w:val="TableContents"/>
              <w:bidi w:val="0"/>
              <w:spacing w:before="0" w:after="283"/>
              <w:jc w:val="left"/>
              <w:rPr/>
            </w:pPr>
            <w:r>
              <w:rPr/>
              <w:t> </w:t>
            </w:r>
          </w:p>
        </w:tc>
        <w:tc>
          <w:tcPr>
            <w:tcW w:w="3470" w:type="dxa"/>
            <w:tcBorders/>
            <w:tcMar>
              <w:bottom w:w="0" w:type="dxa"/>
            </w:tcMar>
            <w:vAlign w:val="center"/>
          </w:tcPr>
          <w:p>
            <w:pPr>
              <w:pStyle w:val="TableContents"/>
              <w:bidi w:val="0"/>
              <w:spacing w:before="0" w:after="283"/>
              <w:jc w:val="both"/>
              <w:rPr>
                <w:sz w:val="20"/>
              </w:rPr>
            </w:pPr>
            <w:r>
              <w:rPr>
                <w:sz w:val="20"/>
              </w:rPr>
              <w:t>Independent director</w:t>
            </w:r>
          </w:p>
        </w:tc>
      </w:tr>
      <w:tr>
        <w:trPr/>
        <w:tc>
          <w:tcPr>
            <w:tcW w:w="2015" w:type="dxa"/>
            <w:tcBorders/>
            <w:shd w:fill="CCEEFF" w:val="clear"/>
            <w:tcMar>
              <w:bottom w:w="0" w:type="dxa"/>
            </w:tcMar>
            <w:vAlign w:val="center"/>
          </w:tcPr>
          <w:p>
            <w:pPr>
              <w:pStyle w:val="TableContents"/>
              <w:bidi w:val="0"/>
              <w:spacing w:before="0" w:after="283"/>
              <w:jc w:val="both"/>
              <w:rPr>
                <w:sz w:val="20"/>
              </w:rPr>
            </w:pPr>
            <w:r>
              <w:rPr>
                <w:sz w:val="20"/>
              </w:rPr>
              <w:t>Tsz Fai Shiu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70" w:type="dxa"/>
            <w:tcBorders/>
            <w:shd w:fill="CCEEFF" w:val="clear"/>
            <w:tcMar>
              <w:bottom w:w="0" w:type="dxa"/>
            </w:tcMar>
            <w:vAlign w:val="center"/>
          </w:tcPr>
          <w:p>
            <w:pPr>
              <w:pStyle w:val="TableContents"/>
              <w:bidi w:val="0"/>
              <w:spacing w:before="0" w:after="283"/>
              <w:jc w:val="both"/>
              <w:rPr>
                <w:sz w:val="20"/>
              </w:rPr>
            </w:pPr>
            <w:r>
              <w:rPr>
                <w:sz w:val="20"/>
              </w:rPr>
              <w:t>Independent director</w:t>
            </w:r>
          </w:p>
        </w:tc>
      </w:tr>
      <w:tr>
        <w:trPr/>
        <w:tc>
          <w:tcPr>
            <w:tcW w:w="2015" w:type="dxa"/>
            <w:tcBorders/>
            <w:tcMar>
              <w:bottom w:w="0" w:type="dxa"/>
            </w:tcMar>
            <w:vAlign w:val="center"/>
          </w:tcPr>
          <w:p>
            <w:pPr>
              <w:pStyle w:val="TableContents"/>
              <w:bidi w:val="0"/>
              <w:spacing w:before="0" w:after="283"/>
              <w:jc w:val="both"/>
              <w:rPr>
                <w:sz w:val="20"/>
              </w:rPr>
            </w:pPr>
            <w:r>
              <w:rPr>
                <w:sz w:val="20"/>
              </w:rPr>
              <w:t>Kenneth Wang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72</w:t>
            </w:r>
          </w:p>
        </w:tc>
        <w:tc>
          <w:tcPr>
            <w:tcW w:w="90" w:type="dxa"/>
            <w:tcBorders/>
            <w:tcMar>
              <w:bottom w:w="0" w:type="dxa"/>
            </w:tcMar>
            <w:vAlign w:val="center"/>
          </w:tcPr>
          <w:p>
            <w:pPr>
              <w:pStyle w:val="TableContents"/>
              <w:bidi w:val="0"/>
              <w:spacing w:before="0" w:after="283"/>
              <w:jc w:val="left"/>
              <w:rPr/>
            </w:pPr>
            <w:r>
              <w:rPr/>
              <w:t> </w:t>
            </w:r>
          </w:p>
        </w:tc>
        <w:tc>
          <w:tcPr>
            <w:tcW w:w="3470" w:type="dxa"/>
            <w:tcBorders/>
            <w:tcMar>
              <w:bottom w:w="0" w:type="dxa"/>
            </w:tcMar>
            <w:vAlign w:val="center"/>
          </w:tcPr>
          <w:p>
            <w:pPr>
              <w:pStyle w:val="TableContents"/>
              <w:bidi w:val="0"/>
              <w:spacing w:before="0" w:after="283"/>
              <w:jc w:val="both"/>
              <w:rPr>
                <w:sz w:val="20"/>
              </w:rPr>
            </w:pPr>
            <w:r>
              <w:rPr>
                <w:sz w:val="20"/>
              </w:rPr>
              <w:t>Independent director</w:t>
            </w:r>
          </w:p>
        </w:tc>
      </w:tr>
      <w:tr>
        <w:trPr/>
        <w:tc>
          <w:tcPr>
            <w:tcW w:w="2015" w:type="dxa"/>
            <w:tcBorders/>
            <w:shd w:fill="CCEEFF" w:val="clear"/>
            <w:tcMar>
              <w:bottom w:w="0" w:type="dxa"/>
            </w:tcMar>
            <w:vAlign w:val="center"/>
          </w:tcPr>
          <w:p>
            <w:pPr>
              <w:pStyle w:val="TableContents"/>
              <w:bidi w:val="0"/>
              <w:spacing w:before="0" w:after="283"/>
              <w:jc w:val="both"/>
              <w:rPr>
                <w:sz w:val="20"/>
              </w:rPr>
            </w:pPr>
            <w:r>
              <w:rPr>
                <w:sz w:val="20"/>
              </w:rPr>
              <w:t>Pak Keung Chan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70" w:type="dxa"/>
            <w:tcBorders/>
            <w:shd w:fill="CCEEFF" w:val="clear"/>
            <w:tcMar>
              <w:bottom w:w="0" w:type="dxa"/>
            </w:tcMar>
            <w:vAlign w:val="center"/>
          </w:tcPr>
          <w:p>
            <w:pPr>
              <w:pStyle w:val="TableContents"/>
              <w:bidi w:val="0"/>
              <w:spacing w:before="0" w:after="283"/>
              <w:jc w:val="both"/>
              <w:rPr>
                <w:sz w:val="20"/>
              </w:rPr>
            </w:pPr>
            <w:r>
              <w:rPr>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Chi Sing Chiu</w:t>
      </w:r>
      <w:r>
        <w:rPr>
          <w:rFonts w:ascii="Times New Roman;Times;Serif" w:hAnsi="Times New Roman;Times;Serif"/>
          <w:b w:val="false"/>
          <w:i w:val="false"/>
          <w:caps w:val="false"/>
          <w:smallCaps w:val="false"/>
          <w:sz w:val="20"/>
        </w:rPr>
        <w:t xml:space="preserve"> is the founder of the Company, and has served as the chairman of the board and a director of the Company since October 2021, and chairman of CCSC Interconnect HK from January 2021 to September 2021. He is in charge of the leadership of the board, strategic planning and major decision-making of our Company. From March 1993 to December 2020, he was the CEO of CCSC Interconnect HK. Dr. Chiu holds an Honorary Doctorate degree in business administration from Sabi University, and received a post-doctoral fellowship from California State University. He is currently pursuing a doctoral degree of regional and industrial economic management from Nanchang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Chiu is a successful entrepreneur with over 30 years’ experience in the interconnect products industry. He has been awarded a Medal of Honor from the Austrian Albert Schweitzer Association in June 2020, and Elite of Commerce from the Economic of French Collection Metropolis Prosperity in each of 2011 and 2012. Dr. Chiu is keen on public welfare undertakings and has been awarded as Outstanding Social Responsibility Entrepreneur Award from the Hong Kong Commercial Daily in August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Kung Lok Chiu</w:t>
      </w:r>
      <w:r>
        <w:rPr>
          <w:rFonts w:ascii="Times New Roman;Times;Serif" w:hAnsi="Times New Roman;Times;Serif"/>
          <w:b w:val="false"/>
          <w:i w:val="false"/>
          <w:caps w:val="false"/>
          <w:smallCaps w:val="false"/>
          <w:sz w:val="20"/>
        </w:rPr>
        <w:t xml:space="preserve"> has served as the CEO and a director of the Company since October 2021. He has also served as the CEO of CCSC Interconnect HK since January 2021, and in such capacity is responsible for our Company’s overall management, corporate development and strategic planning. From January 2018 to December 2020, he served as the sales director of CCSC Interconnect HK, managing the sales department. From April 2014 to December 2017, he served as the sales manager of CCSC Interconnect HK. Mr. Chiu holds a Bachelor’s degree in Mechanical Engineering from Loughborough University and an MBA degree from Concordia University Wisconsin. He is currently pursuing a doctoral degree in Regional and Industrial Economic Management from Nanchang University. Mr. Chiu was awarded a New Generation Enterprise Elite Award from Hong Kong Federation of Innovative Technologies and Manufacturing Industries in July 2022. Mr. Chiu supports public welfare undertakings and was awarded the Best Social Responsibility Award from the Guangdong-HK-Macao Bay Area Entrepreneurs Union in September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Kwok Kwan Chan</w:t>
      </w:r>
      <w:r>
        <w:rPr>
          <w:rFonts w:ascii="Times New Roman;Times;Serif" w:hAnsi="Times New Roman;Times;Serif"/>
          <w:b w:val="false"/>
          <w:i w:val="false"/>
          <w:caps w:val="false"/>
          <w:smallCaps w:val="false"/>
          <w:sz w:val="20"/>
        </w:rPr>
        <w:t xml:space="preserve"> has served as our COO since October 2021. He has also served as the COO of CCSC Interconnect HK since July 2020, responsible for the management and daily operation of various departments. From February 2016 to March 2021, he served as the executive assistant to the general manager of CCSC HK. Mr. Chan holds a Bachelor’s degree in Electrical and Electronics Engineering from Portsmouth University and a Postgraduate diploma in Industrial Automation from Hong Kong Polytechnic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Mr. Chee Hui Law </w:t>
      </w:r>
      <w:r>
        <w:rPr>
          <w:rFonts w:ascii="Times New Roman;Times;Serif" w:hAnsi="Times New Roman;Times;Serif"/>
          <w:b w:val="false"/>
          <w:i w:val="false"/>
          <w:caps w:val="false"/>
          <w:smallCaps w:val="false"/>
          <w:sz w:val="20"/>
        </w:rPr>
        <w:t>has served as our CFO since October 2021. He has also served as the CFO of CCSC Interconnect HK since January 2021. From October 2019 to December 2020, he served as a director of Excellence Capital Management Limited and was responsible for the project management for the Company. From April 2019 to September 2019, he served as the CFO of State Energy International Group Ltd. and was responsible for the overall management of its accounting and corporate finance department, including overseeing the financial management, regulatory compliance and reporting obligation. From September 2012 to March 2019, he served as the CFO and company secretary of AAB International Holding Limited. Mr. Law holds a Bachelor’s degree in accounting from the Royal Melbourne Institute of Technology University in Australia. Mr. Law is a Certified Practicing Accountant of CPA Australia and Fellow member of Hong Kong Institute of Certified Public Accountants.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Chi Man Chan (William)</w:t>
      </w:r>
      <w:r>
        <w:rPr>
          <w:rFonts w:ascii="Times New Roman;Times;Serif" w:hAnsi="Times New Roman;Times;Serif"/>
          <w:b w:val="false"/>
          <w:i w:val="false"/>
          <w:caps w:val="false"/>
          <w:smallCaps w:val="false"/>
          <w:sz w:val="20"/>
        </w:rPr>
        <w:t xml:space="preserve"> has served as our CSO since October 2021. He has also served as the CSO of CCSC Interconnect HK since October 2020. From January 1997 to September 2020, he served as the vice president of CCSC Interconnect HK, managing the daily operation of the sales department. Mr. Chan holds a High Diploma in computer science from Chu Hai College of Higher Education in Hong Kong. With over twenty-five years of experience in sales of interconnect products, we believe Mr. Chan is well qualified to serve as our CSO.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Jung Yi Chiu</w:t>
      </w:r>
      <w:r>
        <w:rPr>
          <w:rFonts w:ascii="Times New Roman;Times;Serif" w:hAnsi="Times New Roman;Times;Serif"/>
          <w:b w:val="false"/>
          <w:i w:val="false"/>
          <w:caps w:val="false"/>
          <w:smallCaps w:val="false"/>
          <w:sz w:val="20"/>
        </w:rPr>
        <w:t xml:space="preserve"> has served as or Chief Strategy Officer since May 2024. Mr. Chiu has over 30 years of experience in various leadership roles in the electronics industry, specializing in sales, marketing, and business development. Mr. Chiu joined the Company in August 2020 as the Development Strategy Officer, and has since led strategic initiatives to drive Industry 4.0-related projects and new business development at the Company. Prior to joining the Company, Mr. Chiu held senior positions at multiple electronics companies, including Kenmec Group and AVC Thermal Cooling Corporation (both are listed companies on the Taipei Exchange). Mr. Chiu holds a Master’s degree in Industrial Management and a Bachelor’s degree in Electrical Engineering from the National Taiwan University of Science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Ms. Sin Ting Chiu</w:t>
      </w:r>
      <w:r>
        <w:rPr>
          <w:rFonts w:ascii="Times New Roman;Times;Serif" w:hAnsi="Times New Roman;Times;Serif"/>
          <w:b w:val="false"/>
          <w:i w:val="false"/>
          <w:caps w:val="false"/>
          <w:smallCaps w:val="false"/>
          <w:sz w:val="20"/>
        </w:rPr>
        <w:t xml:space="preserve"> has served as a director of the Company since October 2021. From May 2016 to September 2021, she was responsible for overseeing the overall administration and human resources affairs and served as the manager of the finance department of CCSC Interconnect HK. Ms. Chiu holds a Bachelor’s degree in Bioscience (nutrition) from the University of Nottingham.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Wai Chun Tsang </w:t>
      </w:r>
      <w:r>
        <w:rPr>
          <w:rFonts w:ascii="Times New Roman;Times;Serif" w:hAnsi="Times New Roman;Times;Serif"/>
          <w:b w:val="false"/>
          <w:i w:val="false"/>
          <w:caps w:val="false"/>
          <w:smallCaps w:val="false"/>
          <w:sz w:val="20"/>
        </w:rPr>
        <w:t>has been an independent director since December 2023. In April 2000, she founded TWC Corporate Services Ltd., a company that provides accounting, corporate and private equity fund administration services, and has since served as a managing director, responsible for overall supervision of the company. Ms Tsang was an independent non-executive director and audit committee chairman in a Hong Kong listed company, Timeless Resources Holdings Limited for over ten years. Ms. Tsang holds a diploma in secretarial management from Hong Kong Baptist College, an MBA from Heriot-Watt University, an Honorary Doctorate degree in business administration from Sabi University in France, and a Doctorate degree from International American University. Ms. Tsang is a Fellow member of Institute of Public Accountants; and Associate member for The Association of International Accountants and The Hong Kong Chartered Governance Institute.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Tsz Fai Shiu</w:t>
      </w:r>
      <w:r>
        <w:rPr>
          <w:rFonts w:ascii="Times New Roman;Times;Serif" w:hAnsi="Times New Roman;Times;Serif"/>
          <w:b w:val="false"/>
          <w:i w:val="false"/>
          <w:caps w:val="false"/>
          <w:smallCaps w:val="false"/>
          <w:sz w:val="20"/>
        </w:rPr>
        <w:t xml:space="preserve"> has been an independent director since December 2023. Since 2005, he has been working for Knowing Management Consultancy, where he serves as the principal consultant and training director. His responsibilities include: overall office administration and management, formulating marketing strategies and performing marketing functions, providing consulting and training services to individual and corporate clients. Mr. Shiu holds a Bachelor’s degree in social service and social work from Hong Kong Polytechnic University, a Master’s degree in business administration from Sheffield Hallam University in United Kingdom, and a Doctorate degree in business administration from Bulacan State University in Philippines.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Kenneth Wang</w:t>
      </w:r>
      <w:r>
        <w:rPr>
          <w:rFonts w:ascii="Times New Roman;Times;Serif" w:hAnsi="Times New Roman;Times;Serif"/>
          <w:b w:val="false"/>
          <w:i w:val="false"/>
          <w:caps w:val="false"/>
          <w:smallCaps w:val="false"/>
          <w:sz w:val="20"/>
        </w:rPr>
        <w:t xml:space="preserve"> has been an independent director since December 2023. Since September 2009, he has served as the President of Synergy Turfs Co., Ltd., a Taiwanese company that produces artificial turf for leisure and sports industry, where he oversees new market expansion and product development, manages key accounts to promote profitability and customer satisfaction. From March 1993 to September 2009, he served as the managing director of Best Interlink Group, where he managed primary account relationships. From June 1981 to March 1993, he served as the head of the Sr. technical staff of Hughes Aircraft Company in Fullerton, where he provided technical evaluations of engineering design documents sourced from third parties, advised design team on potential implementation plans, and monitored design processes from conceptual through implementation. Mr. Wang holds a Bachelor’s degree in electrical engineering from California State University and an MBA from the National University (La Jolla, 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Pak Keung Chan</w:t>
      </w:r>
      <w:r>
        <w:rPr>
          <w:rFonts w:ascii="Times New Roman;Times;Serif" w:hAnsi="Times New Roman;Times;Serif"/>
          <w:b w:val="false"/>
          <w:i w:val="false"/>
          <w:caps w:val="false"/>
          <w:smallCaps w:val="false"/>
          <w:sz w:val="20"/>
        </w:rPr>
        <w:t xml:space="preserve"> has been an independent director since December 2023. Since April 2015, he has been working as an independent advisor, specializing on the design, testing and global marketing of computer memory products and systems for aerospace and military industries. He served as an Emeritus Consultant to the chairman and CEO of the Sanmina Corporation, a Nasdaq listed company, from April 2015 to March 2016, and served as the President, of Sanmina Corporation, from March 1999 to March 2015. Dr. Chan holds a Bachelor’s degree in Mechanical Engineering and Automation from Tianjin University; and Postgraduate degree in Applied Electronic Engineering from Hong Kong University; and Honorary Doctorate degree of Philosophy in Business Administration from Tarlac State University. He also received post-doctoral fellowship in Art Management and Technology from University of Quebec, and post-doctoral fellowship in Business and Technology Management from China National School of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Chi Sing Chiu is father of Mr. Kung Lok Chiu and Ms. Sin Ting Chiu. None of the other directors or executive officers has a family relationship as defined in Item 401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biggest shareholder, our director and chairman of the Board, Dr. Chi Sing Chiu, owns approximately 65.65% of the aggregate voting power of our outstanding Ordinary Shares as of the date of this annual report. As a result, we may be deemed to be a “controlled company” within the meaning of the Nasdaq listing standards. Dr. Chi Sing Chiu has the ability to control the outcome of matters submitted to the shareholders for approval by ordinary resolution, including the election of directors and any merger, consolidation, or sale of all or substantially all of our assets. However, Dr. Chi Sing Chiu does not have the ability to unilaterally control matters requiring approval by special resolution, which requires the affirmative vote of at least two-thirds (2/3) of the votes cast by shareholders entitled to vote thereon. If we are deemed to be a “controlled company”, we are permitted to elect to rely on certain exemptions from the obligations to comply with certain corporate governance requirements,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 xml:space="preserve">the requirement that a majority of the board of directors consist of independent directors;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requirement that our director nominees be selected or recommended solely by independent directors;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requirement that we have a nominating and corporate governance committee and a compensation committee that are composed entirely of independent directors with a written charter addressing the purposes and responsibilities of the committees.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intend to rely on the controlled company exemptions under the Nasdaq listing standards even if we are deemed a controlled company, we could elect to rely on these exemptions in the future, and if so, our shareholders would not have the same protection afforded to shareholders of companies that are subject to all of the corporate governance requirements of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we paid an aggregate of approximately US$1,133,426 in cash to our executive officers and directors, and we paid an aggregate of US$86,400 in cash to our non-executive directors. This amount consisted only of cash and did not include any share-based compensation or benefits in kind. We have not set aside or accrued any amount to provide pension, retirement or other similar benefits to our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assists the directors in reviewing and approving the compensation structure for the directors and the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adopted the 2024 performance incentive plan (the “2024 Plan”) on September 10, 2024, effective as of the same date, to attract and retain the best available personnel, provide additional incentives to employees, directors, and consultants, and promote the success of our business. Under the 2024 Plan, the maximum aggregate number of shares that may be issued pursuant to all awards is 2,200,000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issued any awards under the 2024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principal terms of the 2024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Plan permits the awards of cash, restricted stock units, share options, or any similar securities with a value derived from the value of or related to the Class A Ordinary Shares and/or returns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Plan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or a committee of one or more board members administers the 2024 Plan. The committee or the full board, as applicable, determines the participants, the type and number of awards to be granted to each participant, and the terms and conditions of each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awards granted under the 2024 Plan will be evidenced by an award agreement that will set forth terms, conditions, and limitations, which may include the provisions applicable in the event the grantee’s employment or service terminates, and our authority to unilaterally or bilaterally amend, modify, suspend, cancel or rescind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awards to our employees, directors, and consultants of our Company, and other individuals, as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plan administrator determines the vesting schedule, which will be specified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determine the exercise price for each award, which will be stated in the award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adopted the 2025 performance incentive plan (the “2025 Plan”) on December 15, 2025, effective as of the same date, to attract and retain the best available personnel, provide additional incentives to employees, directors, and consultants, and promote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issued any awards under the 2025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principal terms of the 2025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permits the grant of share options (incentive or nonqualified), share appreciation rights, restricted stock, stock units, performance stock, phantom stock, cash awards, dividend equivalent rights, and any similar securities with a value derived from or related to the Class A Ordinary Shares and/or returns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Plan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or a committee of one or more board members administers the 2025 Plan. The Administrator determines the participants, the type and number of awards to be granted to each participant, and the terms and conditions of each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award granted under the 2025 Plan will be evidenced by a written or electronic award agreement setting forth the terms, conditions, and limitations of the award, including provisions applicable in the event the grantee’s employment or service terminates, and the Administrator’s authority to amend, modify, suspend, cancel, or rescind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awards to officers, employees, directors, and individual consultants or advisors of the Company and its subsidiaries, as determined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aggregate number of shares that may be issued under the 2025 Plan is 680,000 Class A Ordinary Shares. The maximum aggregate number of Shares available for issuance under the Plan shall automatically increase on the first trading day in January each calendar year during the term of the 2025 Plan, beginning on the first trading day in January 2027, by an amount equal to 20% of the total number of Class A Ordinary Shares issued and outstanding as measured as of the last trading day in the immediately preceding calendar year, or such fewer number of Class A Ordinary Shares as determined by the Board, but in no event shall any such annual increase exceed 136,000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determines the vesting schedule, which will be specified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will determine the exercise price for each award, which will be stated in the award agreement. The exercise price shall not be less than the par value of a Class A Ordinary Share. The maximum term of each option is ten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seven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Duties of Directors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all of our directors owe three types of duties to us: (i) statutory duties, (ii) fiduciary duties, and (iii) common law duties. The Companies Act (As Revised) of the Cayman Islands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New M&amp;A, as amended and restated from time to time. We have the right to seek damages if a duty owed by any of our directors is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holds office until a successor has been duly elected and qualified unless the director was appointed by the board of directors, in which case such director holds office until the next annual meeting of shareholders at which time such director is eligible for re-election. All of our executive officers are appointed by and serve at the discretion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shareholding qualification for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Participation Concerning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board of directors, which comprises of 7 directors, has been making decisions regarding executive officer compensation. Our compensation committee is responsible for making decisions regarding executive officer compensation, and our audit committee will be making decisions regarding related-party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under the board of directors: an audit committee, a compensation committee, and a nominating and corporate governance committee. We have adopted a charter for each of the three committees. We have determined that each of Wai Chun Tsang, Tsz Fai Shiu, Pak Keung Chan, and Kenneth Wang satisfies the “independence” requirements of the Nasdaq listing rules under and Rule 10A-3 under the Securities Exchange Act. Each committee’s members and functions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Committee. </w:t>
      </w:r>
      <w:r>
        <w:rPr>
          <w:rFonts w:ascii="Times New Roman;Times;Serif" w:hAnsi="Times New Roman;Times;Serif"/>
          <w:b w:val="false"/>
          <w:i w:val="false"/>
          <w:caps w:val="false"/>
          <w:smallCaps w:val="false"/>
          <w:sz w:val="20"/>
        </w:rPr>
        <w:t>Our audit committee consists of Wai Chun Tsang, Tsz Fai Shiu, and Pak Keung Chan. Wai Chun Tsang is the chairperson of our audit committee. Our board of directors also has determined that Wai Chun Tsang qualifies as an audit committee financial expert within the meaning of the SEC rules or possesses financial sophistication within the meaning of the Nasdaq listing rules.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appointing the independent auditors and pre-approving all auditing and non-auditing services permitted to be performed by the independent auditors;</w:t>
            </w:r>
          </w:p>
        </w:tc>
      </w:tr>
    </w:tbl>
    <w:p>
      <w:pPr>
        <w:pStyle w:val="TextBody"/>
        <w:bidi w:val="0"/>
        <w:spacing w:before="0" w:after="0"/>
        <w:ind w:left="960" w:right="0" w:hanging="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68"/>
        <w:gridCol w:w="200"/>
        <w:gridCol w:w="84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sz w:val="20"/>
              </w:rPr>
            </w:pPr>
            <w:r>
              <w:rPr>
                <w:sz w:val="20"/>
              </w:rPr>
              <w:t>reviewing with the independent auditors any audit problems or difficulties and management’s response;</w:t>
            </w:r>
          </w:p>
        </w:tc>
      </w:tr>
    </w:tbl>
    <w:p>
      <w:pPr>
        <w:pStyle w:val="TextBody"/>
        <w:bidi w:val="0"/>
        <w:spacing w:before="0" w:after="0"/>
        <w:ind w:left="960" w:right="0" w:hanging="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68"/>
        <w:gridCol w:w="200"/>
        <w:gridCol w:w="81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sz w:val="20"/>
              </w:rPr>
            </w:pPr>
            <w:r>
              <w:rPr>
                <w:sz w:val="20"/>
              </w:rPr>
              <w:t>discussing the annual audited financial statements with management and the independent auditors;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0"/>
        <w:ind w:left="96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68"/>
        <w:gridCol w:w="200"/>
        <w:gridCol w:w="53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sz w:val="20"/>
              </w:rPr>
            </w:pPr>
            <w:r>
              <w:rPr>
                <w:sz w:val="20"/>
              </w:rPr>
              <w:t>reviewing and approving all proposed related party transactions;</w:t>
            </w:r>
          </w:p>
        </w:tc>
      </w:tr>
    </w:tbl>
    <w:p>
      <w:pPr>
        <w:pStyle w:val="TextBody"/>
        <w:bidi w:val="0"/>
        <w:spacing w:before="0" w:after="0"/>
        <w:ind w:left="960" w:right="0" w:hanging="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68"/>
        <w:gridCol w:w="200"/>
        <w:gridCol w:w="73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sz w:val="20"/>
              </w:rPr>
            </w:pPr>
            <w:r>
              <w:rPr>
                <w:sz w:val="20"/>
              </w:rPr>
              <w:t>meeting separately and periodically with management and the independent auditors; and</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Compensation Committee. </w:t>
      </w:r>
      <w:r>
        <w:rPr>
          <w:rFonts w:ascii="Times New Roman;Times;Serif" w:hAnsi="Times New Roman;Times;Serif"/>
          <w:b w:val="false"/>
          <w:i w:val="false"/>
          <w:caps w:val="false"/>
          <w:smallCaps w:val="false"/>
          <w:sz w:val="20"/>
        </w:rPr>
        <w:t>Our compensation committee consists of Tsz Fai Shiu, Wai Chun Tsang, and Kenneth Wang. Tsz Fai Shiu is the chairperson of our compensation committee. The compensation committee assists the board of directors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pStyle w:val="TextBody"/>
        <w:bidi w:val="0"/>
        <w:spacing w:before="0" w:after="0"/>
        <w:ind w:left="960"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68"/>
        <w:gridCol w:w="200"/>
        <w:gridCol w:w="7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sz w:val="20"/>
              </w:rPr>
            </w:pPr>
            <w:r>
              <w:rPr>
                <w:sz w:val="20"/>
              </w:rPr>
              <w:t>reviewing and approving the total compensation package for our most senior executive officers;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approving and overseeing the total compensation package for our executives other than the most senior executive officers;</w:t>
            </w:r>
          </w:p>
        </w:tc>
      </w:tr>
    </w:tbl>
    <w:p>
      <w:pPr>
        <w:pStyle w:val="TextBody"/>
        <w:bidi w:val="0"/>
        <w:spacing w:before="0" w:after="0"/>
        <w:ind w:left="960" w:right="0" w:hanging="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68"/>
        <w:gridCol w:w="200"/>
        <w:gridCol w:w="75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sz w:val="20"/>
              </w:rPr>
            </w:pPr>
            <w:r>
              <w:rPr>
                <w:sz w:val="20"/>
              </w:rPr>
              <w:t>reviewing and recommending to the board with respect to the compensation of our directors;</w:t>
            </w:r>
          </w:p>
        </w:tc>
      </w:tr>
    </w:tbl>
    <w:p>
      <w:pPr>
        <w:pStyle w:val="TextBody"/>
        <w:bidi w:val="0"/>
        <w:spacing w:before="0" w:after="0"/>
        <w:ind w:left="96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68"/>
        <w:gridCol w:w="200"/>
        <w:gridCol w:w="76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sz w:val="20"/>
              </w:rPr>
            </w:pPr>
            <w:r>
              <w:rPr>
                <w:sz w:val="20"/>
              </w:rPr>
              <w:t>reviewing periodically and approving any long-term incentive compensation or equity plans;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selecting compensation consultants, legal counsel or other advisors after taking into consideration all factors relevant to that person’s independence from management; and</w:t>
            </w:r>
          </w:p>
        </w:tc>
      </w:tr>
    </w:tbl>
    <w:p>
      <w:pPr>
        <w:pStyle w:val="TextBody"/>
        <w:bidi w:val="0"/>
        <w:spacing w:before="0" w:after="0"/>
        <w:ind w:left="960" w:right="0" w:hanging="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68"/>
        <w:gridCol w:w="200"/>
        <w:gridCol w:w="86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sz w:val="20"/>
              </w:rPr>
            </w:pPr>
            <w:r>
              <w:rPr>
                <w:sz w:val="20"/>
              </w:rPr>
              <w:t>reviewing programs or similar arrangements, annual bonuses, employee pension and welfare benefit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Nominating and Corporate Governance Committee. </w:t>
      </w:r>
      <w:r>
        <w:rPr>
          <w:rFonts w:ascii="Times New Roman;Times;Serif" w:hAnsi="Times New Roman;Times;Serif"/>
          <w:b w:val="false"/>
          <w:i w:val="false"/>
          <w:caps w:val="false"/>
          <w:smallCaps w:val="false"/>
          <w:sz w:val="20"/>
        </w:rPr>
        <w:t>Our nominating and corporate governance committee consists of Kenneth Wang, Wai Chun Tsang, and Pak Keung Chan. Pak Keung Chan is the chairperson of our nominating and corporate governance committee. The nominating and corporate governance committee assists the board of directors in selecting individuals qualified to become our directors and in determining the composition of the board of directors and its committees. The nominating and corporate governance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Recovery Policy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compensation recovery policy to provide for the recovery of erroneously-awarded incentive compensation, as required by the Dodd-Frank Wall Street Reform and Consumer Protection Act, final SEC rules, and applicable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 with each of our executive officers. Pursuant to employment agreements, the form of which was filed as Exhibit 4.1 to the annual report on Form 20-F filed by the Company with the SEC on July 22, 2024 and is hereby incorporated by reference into this annual report. Upon expiration of the three-year term, the employment shall be automatically extended for successive three-year terms unless either party gives the other party provides a one-month prior written notice to terminate the employment before the expiration of such three-year term or otherwise terminated earlier pursuant to the terms of the agreement.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willful disobedience of a lawful and reasonable order, fraud or dishonesty, receipt of bribery, or severe neglect of his or her duties. An executive officer may terminate his or her employment at any time with a one-month prior written notice. Each executive officer agrees to hold, both during and after the employment agreement expires, in strict confidence and not to use or disclose to any person, corporation or other entity without written consent, any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Ordinary Shares as of the date of this annual report by our officers, directors, and 5% or greater beneficial owners of each class of the Ordinary Shares. There is no other person or group of affiliated persons known by us to beneficially own more than 5%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is calculated based on 13,080,186 Class A Ordinary Shares and 500,000 Class B Ordinary Shares issued and outstanding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annual report,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hanging="0"/>
        <w:jc w:val="both"/>
        <w:rPr>
          <w:caps w:val="false"/>
          <w:smallCaps w:val="false"/>
        </w:rPr>
      </w:pPr>
      <w:r>
        <w:rPr>
          <w:caps w:val="false"/>
          <w:smallCaps w:val="false"/>
        </w:rPr>
        <w:t> </w:t>
      </w:r>
    </w:p>
    <w:tbl>
      <w:tblPr>
        <w:tblW w:w="8930" w:type="dxa"/>
        <w:jc w:val="left"/>
        <w:tblInd w:w="0" w:type="dxa"/>
        <w:tblLayout w:type="fixed"/>
        <w:tblCellMar>
          <w:top w:w="0" w:type="dxa"/>
          <w:left w:w="0" w:type="dxa"/>
          <w:bottom w:w="0" w:type="dxa"/>
          <w:right w:w="0" w:type="dxa"/>
        </w:tblCellMar>
      </w:tblPr>
      <w:tblGrid>
        <w:gridCol w:w="3560"/>
        <w:gridCol w:w="90"/>
        <w:gridCol w:w="230"/>
        <w:gridCol w:w="780"/>
        <w:gridCol w:w="90"/>
        <w:gridCol w:w="90"/>
        <w:gridCol w:w="98"/>
        <w:gridCol w:w="912"/>
        <w:gridCol w:w="90"/>
        <w:gridCol w:w="90"/>
        <w:gridCol w:w="188"/>
        <w:gridCol w:w="987"/>
        <w:gridCol w:w="245"/>
        <w:gridCol w:w="90"/>
        <w:gridCol w:w="145"/>
        <w:gridCol w:w="955"/>
        <w:gridCol w:w="290"/>
      </w:tblGrid>
      <w:tr>
        <w:trPr/>
        <w:tc>
          <w:tcPr>
            <w:tcW w:w="3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9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b/>
              </w:rPr>
            </w:pPr>
            <w:r>
              <w:rPr>
                <w:b/>
              </w:rPr>
              <w:t>Directors and Executive Officers*:</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 Sing Chiu</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3.68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65.65</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3560" w:type="dxa"/>
            <w:tcBorders/>
            <w:vAlign w:val="center"/>
          </w:tcPr>
          <w:p>
            <w:pPr>
              <w:pStyle w:val="TableContents"/>
              <w:bidi w:val="0"/>
              <w:spacing w:before="0" w:after="283"/>
              <w:jc w:val="left"/>
              <w:rPr/>
            </w:pPr>
            <w:r>
              <w:rPr/>
              <w:t>Kung Lok Chiu</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pPr>
            <w:r>
              <w:rPr/>
              <w:t>Kwok Kwan Chan</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3560" w:type="dxa"/>
            <w:tcBorders/>
            <w:vAlign w:val="center"/>
          </w:tcPr>
          <w:p>
            <w:pPr>
              <w:pStyle w:val="TableContents"/>
              <w:bidi w:val="0"/>
              <w:spacing w:before="0" w:after="283"/>
              <w:jc w:val="left"/>
              <w:rPr/>
            </w:pPr>
            <w:r>
              <w:rPr/>
              <w:t>Chee Hui Law</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pPr>
            <w:r>
              <w:rPr/>
              <w:t>Chi Man Chan (William)</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3560" w:type="dxa"/>
            <w:tcBorders/>
            <w:vAlign w:val="center"/>
          </w:tcPr>
          <w:p>
            <w:pPr>
              <w:pStyle w:val="TableContents"/>
              <w:bidi w:val="0"/>
              <w:spacing w:before="0" w:after="283"/>
              <w:jc w:val="left"/>
              <w:rPr/>
            </w:pPr>
            <w:r>
              <w:rPr/>
              <w:t>Sin Ting Chiu</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pPr>
            <w:r>
              <w:rPr/>
              <w:t>Wai Chun Tsang</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3560" w:type="dxa"/>
            <w:tcBorders/>
            <w:vAlign w:val="center"/>
          </w:tcPr>
          <w:p>
            <w:pPr>
              <w:pStyle w:val="TableContents"/>
              <w:bidi w:val="0"/>
              <w:spacing w:before="0" w:after="283"/>
              <w:jc w:val="left"/>
              <w:rPr/>
            </w:pPr>
            <w:r>
              <w:rPr/>
              <w:t>Tsz Fai Shiu</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pPr>
            <w:r>
              <w:rPr/>
              <w:t>Kenneth Wang</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3560" w:type="dxa"/>
            <w:tcBorders/>
            <w:vAlign w:val="center"/>
          </w:tcPr>
          <w:p>
            <w:pPr>
              <w:pStyle w:val="TableContents"/>
              <w:bidi w:val="0"/>
              <w:spacing w:before="0" w:after="283"/>
              <w:jc w:val="left"/>
              <w:rPr/>
            </w:pPr>
            <w:r>
              <w:rPr/>
              <w:t>Pak Keung Chan</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pPr>
            <w:r>
              <w:rPr/>
              <w:t>Jung Yi Chiu</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3560" w:type="dxa"/>
            <w:tcBorders/>
            <w:vAlign w:val="center"/>
          </w:tcPr>
          <w:p>
            <w:pPr>
              <w:pStyle w:val="TableContents"/>
              <w:bidi w:val="0"/>
              <w:spacing w:before="0" w:after="283"/>
              <w:jc w:val="left"/>
              <w:rPr>
                <w:b/>
              </w:rPr>
            </w:pPr>
            <w:r>
              <w:rPr>
                <w:b/>
              </w:rPr>
              <w:t>5% Shareholders**: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CCSC Investment Limited</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3.68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65.65</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w:t>
            </w:r>
          </w:p>
        </w:tc>
        <w:tc>
          <w:tcPr>
            <w:tcW w:w="9982" w:type="dxa"/>
            <w:tcBorders/>
            <w:vAlign w:val="center"/>
          </w:tcPr>
          <w:p>
            <w:pPr>
              <w:pStyle w:val="TableContents"/>
              <w:bidi w:val="0"/>
              <w:spacing w:before="0" w:after="283"/>
              <w:jc w:val="both"/>
              <w:rPr>
                <w:sz w:val="20"/>
              </w:rPr>
            </w:pPr>
            <w:r>
              <w:rPr>
                <w:sz w:val="20"/>
              </w:rPr>
              <w:t>Unless otherwise indicated, the business address of each of the individuals is 1301-03, 13/f Shatin Galleria, 18-24Shan Mei St, Fotan, Shatin, Hong Kong.</w:t>
            </w:r>
          </w:p>
        </w:tc>
      </w:tr>
    </w:tbl>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6"/>
        <w:gridCol w:w="9891"/>
      </w:tblGrid>
      <w:tr>
        <w:trPr/>
        <w:tc>
          <w:tcPr>
            <w:tcW w:w="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20"/>
              </w:rPr>
            </w:pPr>
            <w:r>
              <w:rPr>
                <w:sz w:val="20"/>
              </w:rPr>
              <w:t>**</w:t>
            </w:r>
          </w:p>
        </w:tc>
        <w:tc>
          <w:tcPr>
            <w:tcW w:w="9891" w:type="dxa"/>
            <w:tcBorders/>
            <w:vAlign w:val="center"/>
          </w:tcPr>
          <w:p>
            <w:pPr>
              <w:pStyle w:val="TableContents"/>
              <w:bidi w:val="0"/>
              <w:spacing w:before="0" w:after="283"/>
              <w:jc w:val="both"/>
              <w:rPr>
                <w:sz w:val="20"/>
              </w:rPr>
            </w:pPr>
            <w:r>
              <w:rPr>
                <w:sz w:val="20"/>
              </w:rPr>
              <w:t>The principal office of the 5% beneficial owner is located at 1301-03, 13/f Shatin Galleria, 18-24 Shan Mei St, Fotan, Shatin, Hong Kong.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20"/>
              </w:rPr>
            </w:pPr>
            <w:r>
              <w:rPr>
                <w:sz w:val="20"/>
              </w:rPr>
              <w:t>(1)</w:t>
            </w:r>
          </w:p>
        </w:tc>
        <w:tc>
          <w:tcPr>
            <w:tcW w:w="9880" w:type="dxa"/>
            <w:tcBorders/>
            <w:vAlign w:val="center"/>
          </w:tcPr>
          <w:p>
            <w:pPr>
              <w:pStyle w:val="TableContents"/>
              <w:bidi w:val="0"/>
              <w:spacing w:before="0" w:after="283"/>
              <w:jc w:val="both"/>
              <w:rPr>
                <w:sz w:val="20"/>
              </w:rPr>
            </w:pPr>
            <w:r>
              <w:rPr>
                <w:sz w:val="20"/>
              </w:rPr>
              <w:t>Dr. Chi Sing Chiu, chairman of the board of directors, beneficially owns 500,000 Class B Ordinary Shares through his 69.20% ownership of CCSC Investment Limited.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none of our Ordinary Shares are held by record holders in the United States, except for shares held by CEDE &amp; CO. None of our shareholders has informed us that it is affiliated with a registered broker-dealer or is in the business of underwriting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Employees-E. 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2026, 2025 and 2024, the Company did not sell goods to its related parties. As of the date of this annual report, the Company has not sold goods to its related parties in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 from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2026, 2025 and 2024, the Company did not purchase goods from its related parties. As of the date of this annual report, the Company has not purchased goods from its related parties in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related parties as of March 31, 2026 and 2025 was nil. There were no other related party transactions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Employees—C. Board of Directors—Agreements with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that is tasked with reviewing and approving all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Interests of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 See “Item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a party to various legal or administrative proceedings arising in the ordinary course of our business, including actions with respect to intellectual property infringement, violation of third-party licenses or other rights, breach of contract, and labor and employment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Patrick Shane Johnson, et al. v. Syla Technologies Co., Ltd., et al.</w:t>
      </w:r>
      <w:r>
        <w:rPr>
          <w:rFonts w:ascii="Times New Roman;Times;Serif" w:hAnsi="Times New Roman;Times;Serif"/>
          <w:b w:val="false"/>
          <w:i w:val="false"/>
          <w:caps w:val="false"/>
          <w:smallCaps w:val="false"/>
          <w:sz w:val="20"/>
          <w:u w:val="single"/>
        </w:rPr>
        <w:t> (New York County Sup. Ct. Index No. 153671/2026)</w:t>
      </w:r>
      <w:r>
        <w:rPr>
          <w:rFonts w:ascii="Times New Roman;Times;Serif" w:hAnsi="Times New Roman;Times;Serif"/>
          <w:b w:val="false"/>
          <w:i w:val="false"/>
          <w:caps w:val="false"/>
          <w:smallCaps w:val="false"/>
          <w:sz w:val="20"/>
        </w:rPr>
        <w:t>: On March 24, 2026, Plaintiffs Patrick Shane Johnson, Jack Pena, and Hitesh Dev (collectively, “Plaintiffs”) filed a putative civil class action complaint before the Supreme Court of the State of New York, New York County (the “Court”), requesting judicial intervention.  Plaintiffs, for themselves and others similarly situated, assert claims against approximately 47 issuers (including the Company), as well as a large number of underwriters and individuals.  Although none of the named Plaintiffs are alleged to be current or former shareholders of the Company, Plaintiffs assert claims against the Company for violations of Sections 11 and 12 of the Securities Act of 1933 arising from alleged material misrepresentations or omissions in the Company’s registration statement or prospectus issued in connection with the Company’s initial public offering.  More specifically and similar to all of the named defendants-issuers, Plaintiffs allege that the Company purportedly failed to disclose that the Company’s shares were susceptible to pump-and-dump schemes, which Plaintiffs allege purportedly occurred and which schemes were conducted by unknown individuals, of the defendants themselves. The Request for Judicial Intervention filed by Plaintiffs was returned for correction by the Court. Plaintiffs have not yet filed a document correcting the filing. Since March 24, 2026, and as of the date of this annual report, there has been no further activity in the matter involving the Company, nor has there been any formal investigation or regulatory inquiry involving the Company or its officers. The Company has not yet been formally served with the summons and complaint filed in the action. Should the case proceed, the Company believes the claims asserted against it are legally defective and without merit, and the Company intends to vigorously defend the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are currently not a party to, and we are not aware of any threat of, any legal or administrative proceedings that, in the opinion of our management, are likely to have any material and adverse effect on our business, financial condition, cash flow,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rely on dividends from our subsidiaries for our cash requirements, including any payment of dividends to our shareholders. We have not declared or paid any dividends. We do not have any present plan to pay any cash dividends on our Class A Ordinary Shares in the foreseeable future. We currently intend to retain most, if not all, of our available funds and any future earnings to operate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on its shares out of either profits, if any, or share premium amounts, provided that under no circumstances may a dividend be paid if this would result in the company being unable to pay its debts due in the ordinary course of business immediately following the date on which the dividend is paid. Current PRC laws and regulations permit our PRC subsidiary to pay dividends to CCSC Technology Group only out of its accumulated profits, if any, determined in accordance with Chinese accounting standards and regulations. In addition, our PRC subsidiary is required to set aside at least 10% of its after-tax profits each year, if any, to fund a statutory reserve until such reserve reaches 50% of its registered capital. Our PRC subsidiary is also required to further set aside a portion of its after-tax profits to fund the employee welfare fund, although the amount to be set aside, if any, is determined at the discretion of its board of directors. Although the statutory reserves can be used, among other ways, to increase the registered capital and eliminate future losses in excess of retained earnings. These reserve funds, however, may not be distributed as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determine to pay dividends on any of our Class A Ordinary Shares in the future, as a holding company, we will be dependent on receipt of funds from our direct wholly-owned subsidiaries. Pursuant to the PRC EIT Law and its implementation rules, any dividends paid by our PRC subsidiary to CCSC Technology Group will be subject to a withholding tax rate of 10% unless otherwise reduced to 5% by relevant tax authorities according to the Arrangement between Mainland China and the Hong Kong Special Administrative Region for the Avoidance of Double Taxation and Tax Evasion on Income, or the Double Tax Avoidance Arrangement, or other applicable laws. In current practice, a Hong Kong entity must obtain a tax resident certificate from the Hong Kong tax authority to apply for the 5% lower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 Avoidance Arrangement with respect to dividends to be paid by our PRC subsidiary to our Hong Kong subsidiary, CCSC Technology Group. As of the date of this annual report, we have not applied for the tax resident certificate from the relevant Hong Kong tax authority. CCSC Technology Group, intends to apply for the tax resident certificate when CCSC Interconnect DG plans to declare and pay dividends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any dividends, cash dividends on our Class A Ordinary Shares, if any, will be paid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Offer and Listing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have been listed on the Nasdaq Capital Market since January 18, 2024 under the symbol “CCTG.”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have been listed on the Nasdaq Capital Market since January 18, 2024 under the symbol “CCTG.”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Expenses of the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Share Capital in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AGM of the Company was held on September 10, 2024. At the 2024 AGM, the shareholders of the Company adopted the resolutions with respect to the variation of share capital for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68"/>
        <w:gridCol w:w="9969"/>
      </w:tblGrid>
      <w:tr>
        <w:trPr/>
        <w:tc>
          <w:tcPr>
            <w:tcW w:w="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20"/>
              </w:rPr>
            </w:pPr>
            <w:r>
              <w:rPr>
                <w:sz w:val="20"/>
              </w:rPr>
              <w:t>1.</w:t>
            </w:r>
          </w:p>
        </w:tc>
        <w:tc>
          <w:tcPr>
            <w:tcW w:w="9969" w:type="dxa"/>
            <w:tcBorders/>
            <w:vAlign w:val="center"/>
          </w:tcPr>
          <w:p>
            <w:pPr>
              <w:pStyle w:val="TableContents"/>
              <w:bidi w:val="0"/>
              <w:spacing w:before="0" w:after="283"/>
              <w:jc w:val="both"/>
              <w:rPr>
                <w:sz w:val="20"/>
              </w:rPr>
            </w:pPr>
            <w:r>
              <w:rPr>
                <w:sz w:val="20"/>
              </w:rPr>
              <w:t>Increase of Authorized Share Capital. The authorized share capital of the Company was increased from US$50,000 divided into 100,000,000 ordinary shares of a par value of US$0.0005 each to US$250,000 divided into 500,000,000 ordinary shares of a par value of US$0.0005 each, by the creation of 400,000,000 additional ordinary shares of a par value of US$0.0005 each; and</w:t>
            </w:r>
          </w:p>
        </w:tc>
      </w:tr>
    </w:tbl>
    <w:p>
      <w:pPr>
        <w:pStyle w:val="TextBody"/>
        <w:bidi w:val="0"/>
        <w:spacing w:before="0" w:after="0"/>
        <w:ind w:left="72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68"/>
        <w:gridCol w:w="200"/>
        <w:gridCol w:w="38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2.</w:t>
            </w:r>
          </w:p>
        </w:tc>
        <w:tc>
          <w:tcPr>
            <w:tcW w:w="3800" w:type="dxa"/>
            <w:tcBorders/>
            <w:vAlign w:val="center"/>
          </w:tcPr>
          <w:p>
            <w:pPr>
              <w:pStyle w:val="TableContents"/>
              <w:bidi w:val="0"/>
              <w:spacing w:before="0" w:after="283"/>
              <w:jc w:val="both"/>
              <w:rPr>
                <w:sz w:val="20"/>
              </w:rPr>
            </w:pPr>
            <w:r>
              <w:rPr>
                <w:sz w:val="20"/>
              </w:rPr>
              <w:t>Implementation of Dual-Class Share Structure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a.</w:t>
            </w:r>
          </w:p>
        </w:tc>
        <w:tc>
          <w:tcPr>
            <w:tcW w:w="9952" w:type="dxa"/>
            <w:tcBorders/>
            <w:vAlign w:val="center"/>
          </w:tcPr>
          <w:p>
            <w:pPr>
              <w:pStyle w:val="TableContents"/>
              <w:bidi w:val="0"/>
              <w:spacing w:before="0" w:after="283"/>
              <w:jc w:val="both"/>
              <w:rPr>
                <w:sz w:val="20"/>
              </w:rPr>
            </w:pPr>
            <w:r>
              <w:rPr>
                <w:sz w:val="20"/>
              </w:rPr>
              <w:t>5,000,000 ordinary shares of a par value of US$0.0005 held by CCSC Investment Limited were re-designated and reclassified as 5,000,000 Class B Ordinary Shares of a par value of US$0.0005 each, carrying the rights, preferences and privileges as set forth in the New M&amp;A; and</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b.</w:t>
            </w:r>
          </w:p>
        </w:tc>
        <w:tc>
          <w:tcPr>
            <w:tcW w:w="9937" w:type="dxa"/>
            <w:tcBorders/>
            <w:vAlign w:val="center"/>
          </w:tcPr>
          <w:p>
            <w:pPr>
              <w:pStyle w:val="TableContents"/>
              <w:bidi w:val="0"/>
              <w:spacing w:before="0" w:after="283"/>
              <w:jc w:val="both"/>
              <w:rPr>
                <w:sz w:val="20"/>
              </w:rPr>
            </w:pPr>
            <w:r>
              <w:rPr>
                <w:sz w:val="20"/>
              </w:rPr>
              <w:t>The remaining 495,000,000 issued and unissued ordinary shares of a par value of US$0.0005 each were re-designated and reclassified as Class A Ordinary Shares of a par value of US$0.0005 each, carrying the rights, preferences and privileges as set forth in the New M&amp;A.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Consolidation in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during the annual general meeting of shareholders of the Company, the shareholders passed certain resolutions authorizing the following: (i) on the date when the closing market price per Class A ordinary share of a par value of US$0.0005 each is less than US$1.00, or on such later date as any director of the Company deems advisable and may determine in his or her absolute discretion, every 10 issued and unissued Class A ordinary shares of a par value of US$0.0005 each and every 10 issued and unissued Class B ordinary shares of a par value of US$0.0005 each be consolidated into one Class A Ordinary Share of a par value of US$0.005 and one Class B Ordinary Share of a par value of US$0.005, respectively, such that following such share consolidation, the authorized share capital of the Company will be US$250,000 divided into 50,000,000 shares of a par value of US$0.005 each, comprising 49,500,000 Class A Ordinary Shares of a par value of US$0.005 each and 500,000 Class B Ordinary Shares of a par value of US$0.005 each (the “First Share Consolidation”); and (ii) subsequently following the First Share Consolidation, on the date when the closing market price per Class A Ordinary Share of a par value of US$0.005 each is less than US$1.00, or on such later date as any director of the Company deems advisable and may determine in his or her absolute discretion, every 5 issued and unissued Class A Ordinary Shares of a par value of US$0.005 each and every five issued and unissued Class B Ordinary Shares of a par value of US$0.005 each be consolidated into one Class A ordinary share of a par value of US$0.025 and one Class B ordinary share of a par value of US$0.025, respectively, such that following such share consolidation, the authorized share capital of the Company will be US$250,000 divided into 10,000,000 shares of a par value of US$0.025 each, comprising 9,900,000 Class A ordinary shares of a par value of US$0.025 each and 100,000 Class B ordinary shares of a par value of US$0.025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2025, the board of directors of the Company passed certain resolutions to approve the First Share Consolidation. The First Share Consolidation became effective on January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M&amp;A is filed as Exhibit 1.1 to this annual report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authorized share capital of the Company is US$250,000 divided into 49,500,000 Class A Ordinary Shares of a par value of US$0.005 each, and 500,000 Class B Ordinary Shares of a par value of US$0.005 each. As of the date of this annual report, 13,080,186 Class A Ordinary Shares and 500,000 Class B Ordinary Shares are issued and outstanding. All of our issued and outstanding Ordinary Shares are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Overview—Regulations—Regulations Relating to Foreign Exchange” and “Item 4. Information on the Company—B. Business Overview—Regulations—PRC Regulations Related to Foreign Exchange Registration of Offshore Investment by Mainland China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following discussion of material PRC, Cayman Islands, Hong Kong and United States federal income tax consequences of an investment in our </w:t>
      </w:r>
      <w:r>
        <w:rPr>
          <w:rFonts w:ascii="Times New Roman;Times;Serif" w:hAnsi="Times New Roman;Times;Serif"/>
          <w:b w:val="false"/>
          <w:i w:val="false"/>
          <w:caps w:val="false"/>
          <w:smallCaps w:val="false"/>
          <w:sz w:val="20"/>
        </w:rPr>
        <w:t xml:space="preserve">Class A Ordinary Shares </w:t>
      </w:r>
      <w:r>
        <w:rPr>
          <w:rFonts w:ascii="Times New Roman;Times;Serif" w:hAnsi="Times New Roman;Times;Serif"/>
          <w:b w:val="false"/>
          <w:i/>
          <w:caps w:val="false"/>
          <w:smallCaps w:val="false"/>
          <w:sz w:val="20"/>
        </w:rPr>
        <w:t xml:space="preserve">is based upon laws and relevant interpretations thereof in effect as of the date of this annual report, all of which are subject to change. This discussion does not deal with all possible tax consequences relating to an investment in our </w:t>
      </w:r>
      <w:r>
        <w:rPr>
          <w:rFonts w:ascii="Times New Roman;Times;Serif" w:hAnsi="Times New Roman;Times;Serif"/>
          <w:b w:val="false"/>
          <w:i w:val="false"/>
          <w:caps w:val="false"/>
          <w:smallCaps w:val="false"/>
          <w:sz w:val="20"/>
        </w:rPr>
        <w:t>Class A Ordinary Shares</w:t>
      </w:r>
      <w:r>
        <w:rPr>
          <w:rFonts w:ascii="Times New Roman;Times;Serif" w:hAnsi="Times New Roman;Times;Serif"/>
          <w:b w:val="false"/>
          <w:i/>
          <w:caps w:val="false"/>
          <w:smallCaps w:val="false"/>
          <w:sz w:val="20"/>
        </w:rPr>
        <w:t xml:space="preserve">, such as the tax consequences under state, local, and other tax laws or under tax laws of jurisdictions other than the Cayman Islands, the People’s Republic of China, Hong Kong, and the United States.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Class A Ordinary Shares will not be subject to taxation in the Cayman Islands and no withholding will be required on the payment of a dividend or capital to any holder of our Class A Ordinary Shares, nor will gains derived from the disposal of our Class A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IRO is an ordinance that regulates taxes on property, earnings and profits in Hong Kong. It provides, among others, that persons, which include corporations, partnerships, trustees and bodies of persons, carrying on any trade, profession or business in Hong Kong are liable for tax on all profits (excluding profits arising from the sale of capital assets) arising in or derived from Hong Kong for the year of assessment from such trade, profession or business. As at the Latest Practicable Date, the standard profits tax rate for corporations is at 8.25% on assessable profits up to HK$2,000,000 and 16.5% on any part of assessable profits over HK$2,000,000. It also contains provisions relating to, among others, permissible deductions for outgoings and expenses, set-offs for losses and allowances for depreciations.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 Laws and Regulations on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Income Tax and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2007, the National People’s Congress of China enacted the EIT Law, which became effective on January 1, 2008 (as amended in December 2018). The EIT Law provides that enterprises organized under the laws of jurisdictions outside mainland China with their “de facto management bodies” located within mainland China may be considered as mainland China resident enterprises and therefore subject to EIT at the rate of 25% on their worldwide income. The Implementing Rules of the EIT Law further defines the term “de facto management body” as the management body that exercises substantial and overall management and control over the business, personnel, accounts and properties of an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2009, the SAT issued the Notice Regarding the Determination of Chinese-Controlled Overseas Incorporated Enterprises as PRC Tax Resident Enterprises on the Basis of De Facto Management Bodies, known as Circular 82, which provides certain specific criteria for determining whether the “de facto management body” of a PRC-controlled enterprise that is incorporated offshore is deemed to be located in mainland China. Although Circular 82 only applies to offshore enterprises controlled by mainland China enterprises or mainland China enterprise groups, not offshore enterprises controlled by mainland China individuals or foreigners, the criteria set forth in the circular may reflect the SAT’s general position on how the “de facto management body” test should be applied in determining the tax resident status of all offshore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SAT Notice 82, a Chinese-controlled offshore incorporated enterprise will be regarded as a mainland China tax resident by virtue of having a “de facto management body” in mainland China and will be subject to PRC enterprise income tax on its worldwide income only if all of the following criteria are met: (i) the places where senior management and senior management departments that are responsible for daily production, operation and management of the enterprise perform their duties are mainly located within the territory of mainland China; (ii) financial decisions (such as money borrowing, lending, financing and financial risk management) and personnel decisions (such as appointment, dismissal and salary and wages) are decided or need to be decided by organizations or persons located within the territory of mainland China; (iii) main property, accounting books, corporate seal, the board of directors and files of the minutes of shareholders’ meetings of the enterprise are located or preserved within the territory of mainland China; and (iv) one half (or more) of the directors or senior management staff having the right to vote habitually reside within the territory of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for Enterprise Income Tax of Chinese-Controlled Overseas Incorporated Resident Enterprises (Trial Version), or Bulletin 45, further clarifies certain issues related to the determination of tax resident status. Bulletin 45 also specifies that when provided with a resident Chinese-controlled, offshore-incorporated enterprise’s copy of its recognition of residential status, a payer does not need to withhold a 10% income tax when paying certain income sourced from mainland China, such as dividends, to such Chinese-controlled offshore-incorporated enterprise as provided under the EIT Law and Circular 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Cayman Islands holding company, CCSC Technology International Holdings Limited, is not a mainland China resident enterprise for PRC tax purposes. CCSC Technology International Holdings Limited is a company incorporated outside mainland China. As a holding company, its key assets are its ownership interests in its subsidiaries, and its key assets are located, and its records (including the resolutions of its board of directors and the resolutions of its shareholders) are maintained, outside mainland China. As such, we do not believe that our company meets all of the conditions above or is a mainland China resident enterprise for PRC tax purposes. For the same reasons, we believe our other entities outside mainland China are not mainland China resident enterprises either. However, the tax resident status of an enterprise is subject to determination by the competent PRC tax authorities and uncertainties remain with respect to the interpretation of the term “de facto management body.” There can be no assurance that the competent PRC government will ultimately take a view that is consistent with our position and there is a risk that the competent PRC tax authorities may deem our company as a mainland China resident enterprise, in which case we would be subject to the EIT at the rate of 25% on our worldwide income. If the competent PRC tax authorities determine that our Cayman Islands holding company is a mainland China “resident enterprise” for EIT purposes, a number of unfavorable tax consequences could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example is a 10% withholding tax would be imposed on dividends we pay to our enterprise shareholders that are not mainland China resident enterprises and with respect to gains derived by our enterprise shareholders that are not mainland China resident enterprises from transferring our Class A Ordinary Shares. It is unclear whether, if we are considered a mainland China resident enterprise, holders of our Class A Ordinary Shares would be able to claim the benefit of income tax treaties or agreements entered into between mainland China and other countries or areas. See “Item 3. Key Information—D. Risk Factors—</w:t>
      </w:r>
      <w:r>
        <w:rPr>
          <w:rFonts w:ascii="Times New Roman;Times;Serif" w:hAnsi="Times New Roman;Times;Serif"/>
          <w:b w:val="false"/>
          <w:i/>
          <w:caps w:val="false"/>
          <w:smallCaps w:val="false"/>
          <w:sz w:val="20"/>
        </w:rPr>
        <w:t>Risks Relating to Doing Business in China</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Under the EIT Law, we may be classified as a mainland China “resident enterprise” for PRC enterprise income tax purposes. Such classification would likely result in unfavorable tax consequences to us and our shareholders who are not mainland China residents and have a material adverse effect on our results of operations and the value of your investment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Announcement of SAT on Several Issues Concerning the Enterprise Income Tax on Indirect Property Transfer by Non-Resident Enterprises, or Circular 7, which was promulgated by the SAT and became effective on February 3, 2015, if a non-resident enterprise transfers the equity interests of a mainland China resident enterprise indirectly by transfer of the equity interests of an offshore holding company (other than a purchase and sale of shares issued by a mainland China resident enterprise in the public securities market) without a reasonable commercial purpose, the competent PRC tax authorities have the power to reassess the nature of the transaction and the indirect equity transfer may be treated as a direct transfer. As a result, the gain derived from such transfer, which means the equity transfer price less the cost of equity, will be subject to withholding tax at a rate of up to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Circular 7, a transfer which meets all of the following circumstances shall be directly deemed as having no reasonable commercial purposes if:</w:t>
      </w:r>
    </w:p>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over 75% of the value of the equity interests of the offshore holding company are directly or indirectly derived from taxable properties in mainland China;</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at any time during the year before the indirect transfer, over 90% of the total properties of the offshore holding company are investments within the territories of mainland China, or in the year before the indirect transfer, over 90% of the offshore holding company’s revenue is directly or indirectly derived from the territories of mainland China;</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function performed and risks assumed by the offshore holding company are insufficient to substantiate its corporate existence; or</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foreign income tax imposed on the indirect transfer is lower than the PRC tax imposed on the direct transfer of the taxable properties in mainland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SAT issued the Announcement on Issues Relating to Withholding at Source of Income Tax of Non-resident Enterprises, or SAT Circular 37, which took effect on December 1, 2017. SAT Circular 37 purports to provide further clarifications by setting forth the definitions of equity transfer income and tax basis, the foreign exchange rate to be used in the calculation of the withholding amount and the date on which the withholding obligation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SAT Circular 37 provides that where the transfer income subject to withholding at source is derived by an enterprise that is not mainland China resident enterprise in instalments, the instalments may first be treated as recovery of costs of previous investments. Upon recovery of all costs, the tax amount to be withheld must then be computed and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the application of SAT Circular 7 and SAT Circular 37. SAT Circular 7 and SAT Circular 37 may be determined by the competent PRC tax authorities to be applicable to transfers of our shares that involve non-resident investors, if any of such transactions were determined by the tax authorities to lack a reasonable commercial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and our non-resident investors in such transactions may become at risk of being taxed under SAT Circular 7 and SAT Circular 37, and we may be required to comply with SAT Circular 7 and SAT Circular 37 or to establish that we should not be taxed under the general anti-avoidance rule of the EIT Law. This process may be costly and have a material adverse effect on our financial condition and results of operations. See “Item 3. Key Information—D. Risk Factors—</w:t>
      </w:r>
      <w:r>
        <w:rPr>
          <w:rFonts w:ascii="Times New Roman;Times;Serif" w:hAnsi="Times New Roman;Times;Serif"/>
          <w:b w:val="false"/>
          <w:i/>
          <w:caps w:val="false"/>
          <w:smallCaps w:val="false"/>
          <w:sz w:val="20"/>
        </w:rPr>
        <w:t>Risks Relating to Doing Business in China</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We face uncertainty with respect to indirect transfers of equity interests in mainland China resident enterprises by their holding companies that are not mainland China resident enterprises.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w:t>
      </w:r>
      <w:r>
        <w:rPr>
          <w:rFonts w:ascii="Times New Roman;Times;Serif" w:hAnsi="Times New Roman;Times;Serif"/>
          <w:b w:val="false"/>
          <w:i/>
          <w:caps w:val="false"/>
          <w:smallCaps w:val="false"/>
          <w:sz w:val="20"/>
        </w:rPr>
        <w:t>Interim Regulations on Value-added Tax of the PRC</w:t>
      </w:r>
      <w:r>
        <w:rPr>
          <w:rFonts w:ascii="Times New Roman;Times;Serif" w:hAnsi="Times New Roman;Times;Serif"/>
          <w:b w:val="false"/>
          <w:i w:val="false"/>
          <w:caps w:val="false"/>
          <w:smallCaps w:val="false"/>
          <w:sz w:val="20"/>
        </w:rPr>
        <w:t xml:space="preserve"> promulgated by the State Council on December 13, 1993 and were recently amended on November 19, 2017, and the </w:t>
      </w:r>
      <w:r>
        <w:rPr>
          <w:rFonts w:ascii="Times New Roman;Times;Serif" w:hAnsi="Times New Roman;Times;Serif"/>
          <w:b w:val="false"/>
          <w:i/>
          <w:caps w:val="false"/>
          <w:smallCaps w:val="false"/>
          <w:sz w:val="20"/>
        </w:rPr>
        <w:t>Detailed Rules on the Implementation of Interim Regulation on Value-added Tax</w:t>
      </w:r>
      <w:r>
        <w:rPr>
          <w:rFonts w:ascii="Times New Roman;Times;Serif" w:hAnsi="Times New Roman;Times;Serif"/>
          <w:b w:val="false"/>
          <w:i w:val="false"/>
          <w:caps w:val="false"/>
          <w:smallCaps w:val="false"/>
          <w:sz w:val="20"/>
        </w:rPr>
        <w:t xml:space="preserve"> of the PRC promulgated by the Ministry of Finance, or the MOF, on December 25, 1993 and were recently amended on October 28, 2011, collectively the VAT Regulations, all entities and individuals in mainland China engaging in the sales of goods, provision of processing services, repairs and replacement services, sales services, intangible assets, real estate and the importation of goods are required to pay VAT at the rate of 17%,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w:t>
      </w:r>
      <w:r>
        <w:rPr>
          <w:rFonts w:ascii="Times New Roman;Times;Serif" w:hAnsi="Times New Roman;Times;Serif"/>
          <w:b w:val="false"/>
          <w:i/>
          <w:caps w:val="false"/>
          <w:smallCaps w:val="false"/>
          <w:sz w:val="20"/>
        </w:rPr>
        <w:t>Circular on Adjusting Value-added Tax Rates</w:t>
      </w:r>
      <w:r>
        <w:rPr>
          <w:rFonts w:ascii="Times New Roman;Times;Serif" w:hAnsi="Times New Roman;Times;Serif"/>
          <w:b w:val="false"/>
          <w:i w:val="false"/>
          <w:caps w:val="false"/>
          <w:smallCaps w:val="false"/>
          <w:sz w:val="20"/>
        </w:rPr>
        <w:t>, promulgated by the MOF and the SAT on April 4, 2018 and effective as of May 1, 2018, where a taxpayer engages in a taxable sales activity for value-added tax purposes or importation of goods, the previously applicable tax rates of 17% and 11% were lowered to 16% and 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w:t>
      </w:r>
      <w:r>
        <w:rPr>
          <w:rFonts w:ascii="Times New Roman;Times;Serif" w:hAnsi="Times New Roman;Times;Serif"/>
          <w:b w:val="false"/>
          <w:i/>
          <w:caps w:val="false"/>
          <w:smallCaps w:val="false"/>
          <w:sz w:val="20"/>
        </w:rPr>
        <w:t>Circular on Policies to Deepen Value-added Tax Reform</w:t>
      </w:r>
      <w:r>
        <w:rPr>
          <w:rFonts w:ascii="Times New Roman;Times;Serif" w:hAnsi="Times New Roman;Times;Serif"/>
          <w:b w:val="false"/>
          <w:i w:val="false"/>
          <w:caps w:val="false"/>
          <w:smallCaps w:val="false"/>
          <w:sz w:val="20"/>
        </w:rPr>
        <w:t>, promulgated by the MOF, the SAT and the General Administration of Customs on March 20, 2019 and effective as of April 1, 2019, where a taxpayer engages in a taxable sales activity for value-added tax purposes or importation of goods, the previously applicable tax rates of 16% and 10% were lowered to 13% and 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25, 2024, the SCNPC promulgated the VAT Law, which became effective on January 1, 2026 and abolished the Interim Regulations on Value-added Tax of the PRC. Pursuant to the VAT Law, entities and individuals (including individual businesses) engaged in the sale of goods, services, intangible assets and immovables and the importation of goods within mainland China are VAT payers and shall pay VAT in accordance with the VAT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VAT rate applicable to our sales of goods is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discussion is a summary of U.S. federal income tax considerations generally applicable to the ownership and disposition of our Class A Ordinary Shares by a U.S. Holder (as defined below) that acquires our Class A Ordinary Shares in our share offering and holds our Class A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consequences described below, and there can be no assurance that the IRS or a court will not take a contrary position. This discussion, moreover, does not address the U.S. federal estate, gift, Medicare, and alternative minimum tax considerations, any withholding or information reporting requirements, or any state, local and non-U.S. tax considerations relating to the ownership or disposition of our Class A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960" w:right="0" w:hanging="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68"/>
        <w:gridCol w:w="200"/>
        <w:gridCol w:w="31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sz w:val="20"/>
              </w:rPr>
            </w:pPr>
            <w:r>
              <w:rPr>
                <w:sz w:val="20"/>
              </w:rPr>
              <w:t>banks and other financial institutions;</w:t>
            </w:r>
          </w:p>
        </w:tc>
      </w:tr>
    </w:tbl>
    <w:p>
      <w:pPr>
        <w:pStyle w:val="TextBody"/>
        <w:bidi w:val="0"/>
        <w:spacing w:before="0" w:after="0"/>
        <w:ind w:left="960" w:right="0" w:hanging="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68"/>
        <w:gridCol w:w="200"/>
        <w:gridCol w:w="1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sz w:val="20"/>
              </w:rPr>
            </w:pPr>
            <w:r>
              <w:rPr>
                <w:sz w:val="20"/>
              </w:rPr>
              <w:t>insurance companies;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9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0"/>
        <w:jc w:val="both"/>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68"/>
        <w:gridCol w:w="200"/>
        <w:gridCol w:w="12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sz w:val="20"/>
              </w:rPr>
            </w:pPr>
            <w:r>
              <w:rPr>
                <w:sz w:val="20"/>
              </w:rPr>
              <w:t>pension plans;</w:t>
            </w:r>
          </w:p>
        </w:tc>
      </w:tr>
    </w:tbl>
    <w:p>
      <w:pPr>
        <w:pStyle w:val="TextBody"/>
        <w:bidi w:val="0"/>
        <w:spacing w:before="0" w:after="0"/>
        <w:ind w:left="960"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68"/>
        <w:gridCol w:w="200"/>
        <w:gridCol w:w="11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both"/>
              <w:rPr>
                <w:sz w:val="20"/>
              </w:rPr>
            </w:pPr>
            <w:r>
              <w:rPr>
                <w:sz w:val="20"/>
              </w:rPr>
              <w:t>cooperatives;</w:t>
            </w:r>
          </w:p>
        </w:tc>
      </w:tr>
    </w:tbl>
    <w:p>
      <w:pPr>
        <w:pStyle w:val="TextBody"/>
        <w:bidi w:val="0"/>
        <w:spacing w:before="0" w:after="0"/>
        <w:ind w:left="960" w:right="0" w:hanging="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68"/>
        <w:gridCol w:w="200"/>
        <w:gridCol w:w="27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sz w:val="20"/>
              </w:rPr>
            </w:pPr>
            <w:r>
              <w:rPr>
                <w:sz w:val="20"/>
              </w:rPr>
              <w:t>regulated investment companies;</w:t>
            </w:r>
          </w:p>
        </w:tc>
      </w:tr>
    </w:tbl>
    <w:p>
      <w:pPr>
        <w:pStyle w:val="TextBody"/>
        <w:bidi w:val="0"/>
        <w:spacing w:before="0" w:after="0"/>
        <w:ind w:left="960" w:right="0" w:hanging="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68"/>
        <w:gridCol w:w="200"/>
        <w:gridCol w:w="2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sz w:val="20"/>
              </w:rPr>
            </w:pPr>
            <w:r>
              <w:rPr>
                <w:sz w:val="20"/>
              </w:rPr>
              <w:t>real estate investment trusts;</w:t>
            </w:r>
          </w:p>
        </w:tc>
      </w:tr>
    </w:tbl>
    <w:p>
      <w:pPr>
        <w:pStyle w:val="TextBody"/>
        <w:bidi w:val="0"/>
        <w:spacing w:before="0" w:after="0"/>
        <w:ind w:left="960" w:right="0" w:hanging="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68"/>
        <w:gridCol w:w="200"/>
        <w:gridCol w:w="13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sz w:val="20"/>
              </w:rPr>
            </w:pPr>
            <w:r>
              <w:rPr>
                <w:sz w:val="20"/>
              </w:rPr>
              <w:t>broker-dealers;</w:t>
            </w:r>
          </w:p>
        </w:tc>
      </w:tr>
    </w:tbl>
    <w:p>
      <w:pPr>
        <w:pStyle w:val="TextBody"/>
        <w:bidi w:val="0"/>
        <w:spacing w:before="0" w:after="0"/>
        <w:ind w:left="960" w:right="0" w:hanging="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68"/>
        <w:gridCol w:w="200"/>
        <w:gridCol w:w="54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sz w:val="20"/>
              </w:rPr>
            </w:pPr>
            <w:r>
              <w:rPr>
                <w:sz w:val="20"/>
              </w:rPr>
              <w:t>traders that elect to use a market-to-market method of accounting;</w:t>
            </w:r>
          </w:p>
        </w:tc>
      </w:tr>
    </w:tbl>
    <w:p>
      <w:pPr>
        <w:pStyle w:val="TextBody"/>
        <w:bidi w:val="0"/>
        <w:spacing w:before="0" w:after="0"/>
        <w:ind w:left="960" w:right="0" w:hanging="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68"/>
        <w:gridCol w:w="200"/>
        <w:gridCol w:w="41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sz w:val="20"/>
              </w:rPr>
            </w:pPr>
            <w:r>
              <w:rPr>
                <w:sz w:val="20"/>
              </w:rPr>
              <w:t>certain former U.S. citizens or long-term residents;</w:t>
            </w:r>
          </w:p>
        </w:tc>
      </w:tr>
    </w:tbl>
    <w:p>
      <w:pPr>
        <w:pStyle w:val="TextBody"/>
        <w:bidi w:val="0"/>
        <w:spacing w:before="0" w:after="0"/>
        <w:ind w:left="960" w:right="0" w:hanging="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68"/>
        <w:gridCol w:w="200"/>
        <w:gridCol w:w="44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sz w:val="20"/>
              </w:rPr>
            </w:pPr>
            <w:r>
              <w:rPr>
                <w:sz w:val="20"/>
              </w:rPr>
              <w:t>governments or agencies or instrumentalities thereof;</w:t>
            </w:r>
          </w:p>
        </w:tc>
      </w:tr>
    </w:tbl>
    <w:p>
      <w:pPr>
        <w:pStyle w:val="TextBody"/>
        <w:bidi w:val="0"/>
        <w:spacing w:before="0" w:after="0"/>
        <w:ind w:left="960" w:right="0" w:hanging="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68"/>
        <w:gridCol w:w="200"/>
        <w:gridCol w:w="43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sz w:val="20"/>
              </w:rPr>
            </w:pPr>
            <w:r>
              <w:rPr>
                <w:sz w:val="20"/>
              </w:rPr>
              <w:t>tax-exempt entities (including private foundations);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holders who acquired our Class A Ordinary Shares pursuant to the exercise of any employee share option or otherwise as compensation;</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investors that will hold our Class A Ordinary Shares as part of a straddle, hedging, conversion or other integrated transaction for U.S. federal income tax purposes;</w:t>
            </w:r>
          </w:p>
        </w:tc>
      </w:tr>
    </w:tbl>
    <w:p>
      <w:pPr>
        <w:pStyle w:val="TextBody"/>
        <w:bidi w:val="0"/>
        <w:spacing w:before="0" w:after="0"/>
        <w:ind w:left="960" w:right="0" w:hanging="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68"/>
        <w:gridCol w:w="200"/>
        <w:gridCol w:w="90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sz w:val="20"/>
              </w:rPr>
            </w:pPr>
            <w:r>
              <w:rPr>
                <w:sz w:val="20"/>
              </w:rPr>
              <w:t>persons holding their Class A Ordinary Shares in connection with a trade or business outside the United States;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persons that actually or constructively own 10% or more of our voting power or value (including by reason of owning our Ordinary Shares);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investors required to accelerate the recognition of any item of gross income with respect to their Class A Ordinary Shares as a result of such income being recognized on an applicable financial statement;</w:t>
            </w:r>
          </w:p>
        </w:tc>
      </w:tr>
    </w:tbl>
    <w:p>
      <w:pPr>
        <w:pStyle w:val="TextBody"/>
        <w:bidi w:val="0"/>
        <w:spacing w:before="0" w:after="0"/>
        <w:ind w:left="960" w:right="0" w:hanging="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68"/>
        <w:gridCol w:w="200"/>
        <w:gridCol w:w="55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sz w:val="20"/>
              </w:rPr>
            </w:pPr>
            <w:r>
              <w:rPr>
                <w:sz w:val="20"/>
              </w:rPr>
              <w:t>investors that have a functional currency other than the U.S. dollar;</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partnerships or other entities taxable as partnerships for U.S. federal income tax purposes, or persons holding Class A Ordinary Shares through such entities, all of whom may be subject to tax rules that differ significantly from those discussed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summary discussion set forth below is addressed only to U.S. Holders that purchase Class A Ordinary Shares in our IPO. Prospective purchasers are urged to consult their own tax advisors about the application of the U.S. federal income tax rules to their particular circumstances as well as the state, local, foreign and other tax consequences to them of the purchase, ownership and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brief summary discussion, a “U.S. Holder” is a beneficial owner of our Class A Ordinary Shares that is, for U.S. federal income tax purposes:</w:t>
      </w:r>
    </w:p>
    <w:p>
      <w:pPr>
        <w:pStyle w:val="TextBody"/>
        <w:bidi w:val="0"/>
        <w:spacing w:before="0" w:after="0"/>
        <w:ind w:left="960" w:right="0" w:hanging="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68"/>
        <w:gridCol w:w="200"/>
        <w:gridCol w:w="5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sz w:val="20"/>
              </w:rPr>
            </w:pPr>
            <w:r>
              <w:rPr>
                <w:sz w:val="20"/>
              </w:rPr>
              <w:t>an individual who is a citizen or resident of the United States;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a corporation (or other entity taxable as a corporation for U.S. federal income tax purposes) organized under the laws of the United States, any state thereof or the District of Columbia;</w:t>
            </w:r>
          </w:p>
        </w:tc>
      </w:tr>
    </w:tbl>
    <w:p>
      <w:pPr>
        <w:pStyle w:val="TextBody"/>
        <w:bidi w:val="0"/>
        <w:spacing w:before="0" w:after="0"/>
        <w:ind w:left="96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68"/>
        <w:gridCol w:w="200"/>
        <w:gridCol w:w="75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sz w:val="20"/>
              </w:rPr>
            </w:pPr>
            <w:r>
              <w:rPr>
                <w:sz w:val="20"/>
              </w:rPr>
              <w:t>an estate whose income is subject to U.S. federal income taxation regardless of its source; or</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Class A Ordinary Shares and their partners are urged to consult their tax advisors regarding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considered a PFIC, as defined in Section 1297(a) of the US Internal Revenue Code, for any taxable year if either:</w:t>
      </w:r>
    </w:p>
    <w:p>
      <w:pPr>
        <w:pStyle w:val="TextBody"/>
        <w:bidi w:val="0"/>
        <w:spacing w:before="0" w:after="0"/>
        <w:ind w:left="960" w:right="0" w:hanging="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68"/>
        <w:gridCol w:w="200"/>
        <w:gridCol w:w="61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both"/>
              <w:rPr>
                <w:sz w:val="20"/>
              </w:rPr>
            </w:pPr>
            <w:r>
              <w:rPr>
                <w:sz w:val="20"/>
              </w:rPr>
              <w:t>at least 75% of its gross income for such taxable year is passive income; or</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at least 50% of the value of its assets (based on an average of the quarterly values of the assets during a taxable year) is attributable to assets that produce or are held for the production of passive income (the “asset test”).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we raised in our previous IPO will generally be considered to be held for the production of passive income and (2) the value of our assets must be determined based on the market value of our Class A Ordinary Shares from time to time, which could cause the value of our non-passive assets to be less than 50% of the value of all of our assets (including the cash raised in our IPO) on any particular quarterly testing date for purposes of the asset 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operations and the composition of our assets, we are not a PFIC for our current taxable year under the current PFIC rules. We must make a separate determination each year as to whether we   are a PFIC, however, and there can be no assurance with respect to our status as a PFIC for any future taxable year. We will make this determination following the end of any particular tax year. Because the value of our assets for purposes of the asset test will generally be determined based on the market price of our Class A Ordinary Shares and because cash is generally considered to be an asset held for the production of passive income, our PFIC status will depend in large part on the market price of our Class A Ordinary Shares and the amount of cash we raised in our previous IPO. Accordingly, fluctuations in the market price of the Class A Ordinary Shares may cause us to become a PFIC. In addition, the application of the PFIC rules is subject to uncertainty in several respects and the composition of our income and assets will be affected by how, and how quickly, we spend the cash we raised in our previous IPO. We are under no obligation to take steps to reduce the risk of our being classified as a PFIC, and as stated above, the determination of the value of our assets will depend upon material facts (including the market price of our Class A Ordinary Shares from time to time and the amount of cash we raised in our previous IPO) that may not be within our control. If we are a PFIC for any year during which you hold Ordinary Shares, we will continue to be treated as a PFIC for all succeeding years during which you hold Class A Ordinary Shares. If we cease to be a PFIC and you did not previously make a timely “mark-to-market” election as described below, however, you may avoid some of the adverse effects of the PFIC regime by making a “purging election” (as described below) with respect to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your taxable year(s) during which you hold Class A Ordinary Shares, you will be subject to special tax rules with respect to any “excess distribution” that you receive and any gain you realize from a sale or other disposition (including a pledge) of the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pStyle w:val="TextBody"/>
        <w:bidi w:val="0"/>
        <w:spacing w:before="0" w:after="0"/>
        <w:ind w:left="960" w:right="0" w:hanging="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68"/>
        <w:gridCol w:w="200"/>
        <w:gridCol w:w="9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sz w:val="20"/>
              </w:rPr>
            </w:pPr>
            <w:r>
              <w:rPr>
                <w:sz w:val="20"/>
              </w:rPr>
              <w:t>the excess distribution or gain will be allocated ratably over your holding period for the Class A Ordinary Shares;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amount allocated to your current taxable year, and any amount allocated to any of your taxable year(s) prior to the first taxable year in which we were a PFIC, will be treated as ordinary income, and</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amount allocated to each of your other taxable year(s) will be subject to the highest tax rate in effect for that year and the interest charge generally applicable to underpayments of tax will be imposed on the resulting tax attributable to each such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Class A Ordinary Shares cannot be treated as capital, even if you hold the Class A Ordinary Shares as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Class A Ordinary Shares and for which we are determined to be a PFIC, you will include in your income each year an amount equal to the excess, if any, of the fair market value of the Class A Ordinary Shares as of the close of such taxable year over your adjusted basis in such Class A Ordinary Shares, which excess will be treated as ordinary income and not capital gain. You are allowed an ordinary loss for the excess, if any, of the adjusted basis of the Class A Ordinary Shares over their fair market value as of the close of the taxable year. Such ordinary loss, however, is allowable only to the extent of any net mark-to-market gains on the Class A Ordinary Shares included in your income for prior taxable years. Amounts included in your income under a mark-to-market election, as well as gain on the actual sale or other disposition of the Class A Ordinary Shares, are treated as ordinary income. Ordinary loss treatment also applies to any loss realized on the actual sale or disposition of the Class A Ordinary Shares, to the extent that the amount of such loss does not exceed the net mark-to-market gains previously included for such Class A Ordinary Shares. Your basis in the Class A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above under “-Taxation of Dividends and Other Distributions on our Class A Ordinary Shares” generally would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Nasdaq. If the Class A Ordinary Shares are regularly traded on Nasdaq and if you are a holder of Class A Ordinary Shares, the mark-to-market election would be available to you were we to be or become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 If you hold Class A Ordinary Shares in any taxable year in which we are a PFIC, you will be required to file U.S. Internal Revenue Service Form 8621 in each such year and provide certain annual information regarding such Ordinary Shares, including regarding distributions received on the Class A Ordinary Shares and any gain realized on the disposition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make a timely “mark-to-market” election (as described above), and if we were a PFIC at any time during the period you hold our Ordinary Shares, then such Class A Ordinary Shares will continue to be treated as stock of a PFIC with respect to you even if we cease to be a PFIC in a future year, unless you make a “purging election” for the year we cease to be a PFIC. A “purging election” creates a deemed sale of such Class A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Class A Ordinary Shares on the last day of the last year in which we are treated as a PFIC) and holding period (which new holding period will begin the day after such last day) in your Class A Ordinary Shares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IRC Section 1014(a) provides for a step-up in basis to the fair market value for our Class A Ordinary Shares when inherited from a decedent that was previously a holder of our Class A Ordinary Shares. However, if we are determined to be a PFIC and a decedent that was a U.S. Holder did not make either a timely qualified electing fund election for our first taxable year as a PFIC in which the U.S. Holder held (or was deemed to hold) our Class A Ordinary Shares, or a mark-to-market election and ownership of those Class A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Class A Ordinary Shares from a U.S. Holder to not get a step-up in basis under Section 1014 and instead will receive a carryover basis in those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advisors regarding the application of the PFIC rules to your investment in our Class A Ordinary Shares and the elections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the gross amount of distributions made by us to you with respect to the Class A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non-corporate U.S. Holders, including individual U.S. Holders, dividends will be taxed at the lower capital gains rate applicable to qualified dividend income, provided that (1) the Class A Ordinary Shares are readily tradable on an established securities market in the United States, or we are eligible for the benefits of an approved qualifying income tax treaty with the United States that includes an exchange of information program, (2) we are not a PFIC for either our taxable year in which the dividend is paid or the preceding taxable year, and (3) certain holding period requirements are met. Because there is not an income tax treaty between the United States and the Cayman Islands, clause (1) above can be satisfied only if the Class A Ordinary Shares are readily tradable on an established securities market in the United States. Under U.S. Internal Revenue Service authority, Class A Ordinary Shares are considered for purpose of clause (1) above to be readily tradable on an established securities market in the United States if they are listed on certain exchanges, which presently include the NYSE and the Nasdaq Stock Market. You are urged to consult your tax advisors regarding the availability of the lower rate for dividends paid with respect to our Class A Ordinary Shares, including the effects of any change in law after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Class A Ordinary Shares will constitute “passive category income” but could, in the case of certain U.S. Holders, constitute “general category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the distribution exceeds our current and accumulated earnings and profits (as determined under U.S. federal income tax principles), it will be treated first as a tax-free return of your tax basis in your Class A Ordinary Shares, and to the extent the amount of the distribution exceeds your tax basis, the excess will be taxed as capital gain. We do not intend to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Dispositions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(PFIC) rules discussed above, you will recognize taxable gain or loss on any sale, exchange or other taxable disposition of a share equal to the difference between the amount realized (in U.S. dollars) for the share and your tax basis (in U.S. dollars) in the Class A Ordinary Shares. The gain or loss will be capital gain or loss. If you are a non-corporate U.S. Holder, including an individual U.S. Holder, who has held the Class A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our Class A Ordinary Shares and proceeds from the sale, exchange or redemption of our Class A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Hiring Incentives to Restore Employment Act of 2010, certain U.S. Holders are required to report information relating to our Ordinary Shares, subject to certain exceptions (including an exception for Class A Ordinary Shares held in accounts maintained by certain financial institutions), by attaching a complete Internal Revenue Service Form 8938, Statement of Specified Foreign Financial Assets, with their tax return for each year in which they hold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Dividends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Statement by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Documents on Display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http://www.sec.gov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and our executive officers, directors and principal shareholders are exempt from the short-swing profit recovery provisions contained in Section 16 of the Exchange Act. Nevertheless, our directors and officers are required to file Section 16(a) reports (Forms 3, 4, and 5) with the SEC to report their beneficial ownership interests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Subsidiary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Company—A. History and Development of the Company” and “—C. Organizational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Annual Report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Concentration and Credit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 of credit risk consist primarily of cash, restricted cash and accounts receivable. As of March 31, 2026, 2025, and 2024, the aggregate amounts of cash and restricted cash of $1,219,148, $691,695, and $2,672,506, respectively, were held at major financial institutions located in mainland China; and $2,884,957, $3,002,761, and $3,062,241, respectively, were deposited with major financial institutions located outside mainland China. Management believes that these financial institutions are of high credit quality and continually monitors the credit worthiness of these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credit risk associated with its trading and other activities is measured on an individual counterparty basis, as well as by group of counterparties that share similar attributes. Substantially all of the Company’s sales are made to customers that are located primarily in the Europe, Asia and the Americas. The Company’s operating results could be adversely affected by government policies on exporting businesses, foreign exchange rate fluctuations, and local market condition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two customers who accounted for approximately 16.4% and 10.1% of total revenue for the fiscal year ended March 31, 2026, respectively. There were three customers who accounted for approximately 14.5%, 11.9%, and 10.4% of our total revenue for the fiscal year ended March 31, 2025, respectively. There were two customers who accounted for approximately 17.4% and 12.7% of our total revenue for the fiscal year ended March 31,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one customer who accounted for approximately 16.2% of the accounts receivable balance as of March 31, 2026. There were two customers who accounted for approximately 12.3% and 10.6% of the accounts receivable balance as of March 31, 2025, respectively. There were two customers who accounted for approximately 21.6% and 10.4% of the accounts receivable balance as of March 31,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single supplier that accounted for over 10% of the Company’s total purchases for the fiscal year ended March 31, 2025 and 2026. There was one supplier who accounted for 12.1% of the Company’s total purchases for the fiscal year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regularly monitor our liquidity requirements and our compliance with lending covenants, to ensure that we maintain sufficient reserves of cash and readily realizable marketable securities and adequate committed lines of funding from major financial institutions to meet its liquidity requirements in the short and longer term. See “Item 5. Operating and Financial Review and Prospects-B. Liquidity and Capital Resources”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and reporting currency of the Company is the United States Dollar (“US$”). The Company’s direct wholly-owned operating subsidiaries in Hong Kong, mainland China, the Netherlands and the Serbia, use their respective currencies, Hong Kong dollar (“HK$”), Renminbi (“RMB”), Serbia (“RSD”) and Euro (“EUR”), as their functional currencies. Therefore, we are exposed to currency risk primarily through sales and purchases which give rise to receivables, payables and cash balances that are denominated in a currency other than the functional currency of the operations to which the transactions relate. Thus, our revenues and results of operations may be impacted by exchange rate fluctuations between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fluctuations in currency exchange rates have affected our reported results of operations. For example, as a result of fluctuations in currency exchange rates, we incurred and recognized a foreign currency translation loss of US$0.42 million for the year ended March 31, 2026, and foreign currency translation income of US$0.07 million and US$0.43 million for the years ended March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Warrants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securities holders, which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Follow-On Public Offering in September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Company closed a registered best efforts follow-on public offering (the “Offering”), pursuant to an effective registration statement on Form F-1 (File No. 333- 289769), of (i) 11,766,627 Class A ordinary shares of the Company, par value $0.0005 per share, and (ii) 23,533,254 warrants to purchase 23,533,254 Class A ordinary shares, at an exercise price of $0.72 per share (the Class A ordinary shares and the warrants are collectively referred to herein as the “Securities”), exercisable upon issuance and have a term of five years from initial exercise date. The Securities were sold at a combined public offering price of $0.60 per share and accompanying warrants. Each Class A ordinary share was sold together with two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agreed to pay Revere Securities LLC, who acted as the exclusive placement agent (the “Placement Agent”) on a best-efforts basis in connection with this Offering, commissions equal to 4.0% of the aggregate gross proceeds raised in the Offering, with a non-accountable expense allowance equal to 1.0% of the aggregate gross proceeds raised in the Offering, and to reimburse the Placement Agent for its out-of-pocket expenses up to $90,000.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Offering were approximately $6.34 million, after deducting underwriting discounts and commissions and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used the net proceeds of the Offering as follows:(i) US$1.65 million for strengthening branding and marketing to escalate its position in its industry in Europe and the Association of Southeast Asian Nations, (ii) US$1.47 million for strategic acquisitions and collaborations, and (iii) US$1.65 million for other general corporate purposes, including working capital, operating expenses and capital expenditures. None of the transaction expenses included payments to directors or officers of our company or their associates, or any persons owning more than 10% or more of our equity securities or our affiliates. None of the net proceeds we received from the Offering were paid, directly or indirectly, to any of our directors or officers or their associates, or any persons owning 10% or more of our equity securities or our affiliates. We intend to use the remaining net proceeds of the Offering in the same manner as described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15. CONTROLS AND PROCEDURES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chief financial officer, we carried out an evaluation of the effectiveness of our disclosure controls and procedures, which is defined in Rules 13a-15(e) of the Exchange Act,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our management has concluded that, due to the material weaknesses described below, as of March 31, 2026, our disclosure controls and procedures were not effective. Notwithstanding management’s assessment that our internal control over financial reporting was ineffective as of March 31, 2026, due to the material weakness described below, we believe that the consolidated financial statements included in this annual report on Form 20-F correctly present our financial position, results of operations and cash flows for the fiscal years covered thereby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or an attestation report of our registered public accounting firm due to a transition period established by rules of the SEC for newly public companies. However, in connection with the audits of our consolidated financial statements as of March 31, 2024, 2025, and 2026, we and our independent registered public accounting firms identified certain material weaknesses in our internal control over financial reporting PCAOB of the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identified the material weaknesses related to a lack of accounting staff and resources with appropriate knowledge of U.S. GAAP and SEC reporting and compliance requirements. Following the identification of the material weaknesses and control deficiencies, we plan to continue to take remedial measures including (i) hiring more qualified accounting personnel with relevant U.S. GAAP and SEC reporting experience and qualifications to strengthen the financial reporting function and to set up a financial and system control framework; (ii) implementing regular and continuous U.S. GAAP accounting and financial reporting training programs for our accounting and financial reporting personnel and (iii) setting up an internal audit function as well as engaging an external consulting firm to assist us with assessment of Sarbanes-Oxley compliance requirements and improvement of overall internal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implemented and is currently taking the steps necessary to remediate the ineffectiveness, such as (i) conducting regular and continuous U.S. GAAP training programs and webinars for our financial reporting and accounting personnel; ii) actively recruiting more qualified staff to fill up the key roles in the operations; and iii) setting up a financial and system control framework with formal documentation of polices and controls in place. However, we cannot assure you that these measures may fully address the material weakness in our internal control over financial reporting or that we may not identify additional material weaknesses or significant deficiencies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also has determined that Wai Chun Tsang qualifies as an “audit committee financial expert” as defined in Item 16A of Form 20-F. Wai Chun Tsang also satisfies the “independence” requirements of Section 5605(a)(2) of the Nasdaq Listing Rules as well as the independence requirements of Rule 10A-3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which is applicable to all of our directors, officers, and employees. We have made our code of business conduct and ethics publicly available on our website, which can be accessed at https://ir.ccsc-interconnect.com/corporate.html.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and billed by Enrome LLP, our independent registered public accounting firm since November 1, 2024, and Marcum Asia, our independent registered public accounting firm from September 1, 2022 through September 30, 2024, for the periods indicated.</w:t>
      </w:r>
    </w:p>
    <w:p>
      <w:pPr>
        <w:pStyle w:val="TextBody"/>
        <w:bidi w:val="0"/>
        <w:spacing w:before="0" w:after="0"/>
        <w:ind w:left="0" w:right="0" w:hanging="0"/>
        <w:jc w:val="both"/>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1760"/>
        <w:gridCol w:w="90"/>
        <w:gridCol w:w="171"/>
        <w:gridCol w:w="836"/>
        <w:gridCol w:w="90"/>
        <w:gridCol w:w="90"/>
        <w:gridCol w:w="90"/>
        <w:gridCol w:w="836"/>
        <w:gridCol w:w="90"/>
        <w:gridCol w:w="90"/>
        <w:gridCol w:w="171"/>
        <w:gridCol w:w="836"/>
        <w:gridCol w:w="135"/>
      </w:tblGrid>
      <w:tr>
        <w:trPr/>
        <w:tc>
          <w:tcPr>
            <w:tcW w:w="17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3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3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sz w:val="20"/>
              </w:rPr>
            </w:pPr>
            <w:r>
              <w:rPr>
                <w:sz w:val="20"/>
              </w:rPr>
              <w:t xml:space="preserve">Audit fees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220,000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220,000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348,000</w:t>
            </w:r>
          </w:p>
        </w:tc>
        <w:tc>
          <w:tcPr>
            <w:tcW w:w="135"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 xml:space="preserve">Audit-related fees </w:t>
            </w:r>
            <w:r>
              <w:rPr>
                <w:position w:val="7"/>
                <w:sz w:val="16"/>
                <w:sz w:val="20"/>
              </w:rPr>
              <w:t>(2)</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836" w:type="dxa"/>
            <w:tcBorders>
              <w:bottom w:val="single" w:sz="12" w:space="0" w:color="000000"/>
            </w:tcBorders>
            <w:tcMar>
              <w:bottom w:w="28" w:type="dxa"/>
            </w:tcMar>
            <w:vAlign w:val="center"/>
          </w:tcPr>
          <w:p>
            <w:pPr>
              <w:pStyle w:val="TableContents"/>
              <w:bidi w:val="0"/>
              <w:spacing w:before="0" w:after="283"/>
              <w:jc w:val="right"/>
              <w:rPr/>
            </w:pPr>
            <w:r>
              <w:rPr/>
              <w:t>40,000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6" w:type="dxa"/>
            <w:tcBorders>
              <w:bottom w:val="single" w:sz="12" w:space="0" w:color="000000"/>
            </w:tcBorders>
            <w:tcMar>
              <w:bottom w:w="28" w:type="dxa"/>
            </w:tcMar>
            <w:vAlign w:val="center"/>
          </w:tcPr>
          <w:p>
            <w:pPr>
              <w:pStyle w:val="TableContents"/>
              <w:bidi w:val="0"/>
              <w:spacing w:before="0" w:after="283"/>
              <w:jc w:val="right"/>
              <w:rPr/>
            </w:pPr>
            <w:r>
              <w:rPr/>
              <w:t>40,000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836"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6" w:type="dxa"/>
            <w:tcBorders>
              <w:bottom w:val="double" w:sz="10" w:space="0" w:color="000000"/>
            </w:tcBorders>
            <w:shd w:fill="CCEEFF" w:val="clear"/>
            <w:tcMar>
              <w:bottom w:w="28" w:type="dxa"/>
            </w:tcMar>
            <w:vAlign w:val="center"/>
          </w:tcPr>
          <w:p>
            <w:pPr>
              <w:pStyle w:val="TableContents"/>
              <w:bidi w:val="0"/>
              <w:spacing w:before="0" w:after="283"/>
              <w:jc w:val="right"/>
              <w:rPr/>
            </w:pPr>
            <w:r>
              <w:rPr/>
              <w:t>260,000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double" w:sz="10" w:space="0" w:color="000000"/>
            </w:tcBorders>
            <w:shd w:fill="CCEEFF" w:val="clear"/>
            <w:tcMar>
              <w:bottom w:w="28" w:type="dxa"/>
            </w:tcMar>
            <w:vAlign w:val="center"/>
          </w:tcPr>
          <w:p>
            <w:pPr>
              <w:pStyle w:val="TableContents"/>
              <w:bidi w:val="0"/>
              <w:spacing w:before="0" w:after="283"/>
              <w:jc w:val="right"/>
              <w:rPr/>
            </w:pPr>
            <w:r>
              <w:rPr/>
              <w:t>260,000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6" w:type="dxa"/>
            <w:tcBorders>
              <w:bottom w:val="double" w:sz="10" w:space="0" w:color="000000"/>
            </w:tcBorders>
            <w:shd w:fill="CCEEFF" w:val="clear"/>
            <w:tcMar>
              <w:bottom w:w="28" w:type="dxa"/>
            </w:tcMar>
            <w:vAlign w:val="center"/>
          </w:tcPr>
          <w:p>
            <w:pPr>
              <w:pStyle w:val="TableContents"/>
              <w:bidi w:val="0"/>
              <w:spacing w:before="0" w:after="283"/>
              <w:jc w:val="right"/>
              <w:rPr/>
            </w:pPr>
            <w:r>
              <w:rPr/>
              <w:t>348,000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sz w:val="20"/>
              </w:rPr>
            </w:pPr>
            <w:r>
              <w:rPr>
                <w:sz w:val="20"/>
              </w:rPr>
              <w:t>(1)</w:t>
            </w:r>
          </w:p>
        </w:tc>
        <w:tc>
          <w:tcPr>
            <w:tcW w:w="9954" w:type="dxa"/>
            <w:tcBorders/>
            <w:vAlign w:val="center"/>
          </w:tcPr>
          <w:p>
            <w:pPr>
              <w:pStyle w:val="TableContents"/>
              <w:bidi w:val="0"/>
              <w:spacing w:before="0" w:after="283"/>
              <w:jc w:val="both"/>
              <w:rPr>
                <w:sz w:val="20"/>
              </w:rPr>
            </w:pPr>
            <w:r>
              <w:rPr>
                <w:sz w:val="20"/>
              </w:rPr>
              <w:t>Audit fees include the aggregate fees billed for each of the fiscal years for professional services rendered by our independent registered public accounting firm for the audit of our annual financial statements or for the audits of our financial statements and review of the interim financial statements in connection with our IPO.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sz w:val="20"/>
              </w:rPr>
            </w:pPr>
            <w:r>
              <w:rPr>
                <w:sz w:val="20"/>
              </w:rPr>
              <w:t>(2)</w:t>
            </w:r>
          </w:p>
        </w:tc>
        <w:tc>
          <w:tcPr>
            <w:tcW w:w="9941" w:type="dxa"/>
            <w:tcBorders/>
            <w:vAlign w:val="center"/>
          </w:tcPr>
          <w:p>
            <w:pPr>
              <w:pStyle w:val="TableContents"/>
              <w:bidi w:val="0"/>
              <w:spacing w:before="0" w:after="283"/>
              <w:jc w:val="both"/>
              <w:rPr>
                <w:sz w:val="20"/>
              </w:rPr>
            </w:pPr>
            <w:r>
              <w:rPr>
                <w:sz w:val="20"/>
              </w:rPr>
              <w:t>Audit-related fees include the fees billed for professional services rendered by our independent registered public accounting firm for the review of the interim financial statements prepared after our IPO.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provided by our independent registered public accounting firm, including audit services, audit-related services, tax services, and other services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2024, the Company appointed Enrome LLP as its independent registered public accounting firm, effective on the same day. Enrome LLP replaced Marcum Asia, the former independent registered public accounting firm, which the Company dismissed on November 1, 2024. The appointment of Enrome LLP was made after a careful consideration and evaluation process undertaken by the Company and was approved by the audit committee of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Company’s change of auditor are described on a report on Form 6-K filed with the SEC on November 8, 2024, which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Capital Market, we are subject to the Nasdaq corporate governance listing standards. Nasdaq rules, however, permit a foreign private issuer like us to follow the corporate governance practices of its home country. Certain corporate governance practices in the Cayman Islands, which is our home country, may differ significantly from the Nasdaq corporate governance listing standards. To the extent that we choose to follow home country practice with respect to corporate governance matters, our shareholders may be afforded less protection than they otherwise would under rules and regulations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 generally provides that shareholder approval is required of U.S. domestic companies listed on Nasdaq prior to issuance (or potential issuance) of securities (i) equaling 20% or more of the company’s common stock or voting power for less than the greater of market or book value (ii) resulting in a change of control of the company; and (iii) which is being issued pursuant to a stock option or purchase plan to be established or materially amended or other equity compensation arrangement made or materially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5640 sets forth that voting rights of existing shareholders of publicly traded common stock registered under Section 12 of the Exchange Act cannot be disparately reduced or restricted through any corporate action or issuance. Examples of such corporate action or issuance include, but are not limited to, the adoption of time-phased voting plans, the adoption of capped voting rights plans, the issuance of super-voting stock, or the issuance of stock with voting rights less than the per share voting rights of the existing common stock through an exchange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these general requirements, Nasdaq Listing Rule 5615(a)(3)(A) permits foreign private issuers to follow their home country practice rather than these requirements. Under Cayman Islands laws, shareholder approval is not required for the types of securities issuances described in Nasdaq Listing Rules 5635, nor is there a prohibition against actions that may disparately reduce or restrict the voting rights of existing holders of publicly traded common stock. The board of directors of the Company elected to follow the Company’s home country rules in lieu of Nasdaq Listing Rules 5635 and 5640. We, therefore, are not required to obtain such shareholder approval prior to entering into a transaction with the potential to issue securities as described above, and we may take corporate actions or make issuances that disparately reduce or restrict the voting rights of existing shareholders of our publicly traded common stock registered under Section 12 of the Exchange Act. Other than the above, there are no significant differences between our corporate governance practices and those followed by U.S. domestic companies under Nasdaq Capital Market corporate governance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Information—D. Risk Factors-Risks Relating to Our Class A Ordinary Shares—</w:t>
      </w:r>
      <w:r>
        <w:rPr>
          <w:rFonts w:ascii="Times New Roman;Times;Serif" w:hAnsi="Times New Roman;Times;Serif"/>
          <w:b w:val="false"/>
          <w:i/>
          <w:caps w:val="false"/>
          <w:smallCaps w:val="false"/>
          <w:sz w:val="20"/>
        </w:rPr>
        <w:t>As a foreign private issuer, we are not subject to certain U.S. securities law disclosure requirements that apply to a domestic U.S. issuer, and are exempt from certain Nasdaq corporate governance standards applicable to U.S. issuers, which may limit the information publicly available to our investors and afford them less protection than if we were an U.S.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also adopted a compensation recovery policy required by the Nasdaq Listing Rule 5608, the form of which is filed as Exhibit 97.1 to the annual report on Form 20-F filed by the Company with the SEC on July 22, 2024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is a vital aspect of maintaining the trust of our customers and employees. We have instituted a comprehensive cybersecurity risk management program that employs various methods to monitor and assess our threat environment and risk profile. These methods include the use of manual and automated tools, conducting scans of the threat environment, evaluating our and our industry’s risk profile, evaluating threats reported to us and conducting vulnerabilities assessments. We also (i) established procedures to evaluate our backup systems timely as well as to review the security level of our current systems and consider upgrading our security and software testing if needed, (ii) established a fire wall to prevent external cyber risks, and (iii) provided cybersecurity training to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protocols to safeguard against cybersecurity threats and prevent unauthorized access to sensitive data. We regularly assess the Company’s cybersecurity risks and vulnerabilities by identifying potential threats, evaluating the likelihood and potential impact of cyberattacks. We also conduct ongoing evaluation of the industry trends and regulatory environments to ensure full compliance with cybersecurity laws and regulations in all jurisdictions where we operate. We have set in place an efficient risk mitigation, control, and incident response protocols to identify potential risks, detect, effectively respond to, and recover from cybersecurity breaches. We also provide regular training programs to enhance employees’ awareness of cybersecurity risks and to help them better understand their roles and responsibilities in protecting the assets and data of the Company and its subsidiaries. As of the date of this annual report, we do not engage third parties in connection with such evaluation or training processes. In the future, we may engage third parties from time to time to conduct risk assessments.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are useful tools for maintaining a robust cybersecurity program to protect our investors, customers, employees, vendors, and intellectual property. During the fiscal year ended March 31, 2026, we have not identified any risks from cybersecurity threats that have materially affected our business operations or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are primarily responsible for the overall risk management and implementation of such policies and procedures, which will be updated every year under the monitoring of our board of directors, and shall be approved by our board of directors to make sure such policies and procedures satisfy the requirements of IATF 16949 and ISO 9001. The executive management team is responsible for overseeing risk monitoring carried out by our IT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specifically, our IT department is responsible for regularly monitoring cybersecurity risks. They independently and continuously monitor cybersecurity risks and countermeasures to defend against such threats. In the event of a cybersecurity threat or cybersecurity incident, they inform executive management and our board of directors. Furthermore, the IT department conducts thorough analyses of both internal and external cybersecurity risks as required, holding regular meetings with executive management and department heads to address operational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and the Operating Subsidiaries are included at the end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3"/>
        <w:gridCol w:w="90"/>
        <w:gridCol w:w="9332"/>
      </w:tblGrid>
      <w:tr>
        <w:trPr/>
        <w:tc>
          <w:tcPr>
            <w:tcW w:w="78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33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2"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Second Amended and Restated Memorandum and Articles of Association (incorporated by reference to Exhibit 1.1 of our Annual Report on Form 20-F (File No. 001-41919), filed with the Securities and Exchange Commission on July 17, 2025)</w:t>
              </w:r>
            </w:hyperlink>
          </w:p>
        </w:tc>
      </w:tr>
      <w:tr>
        <w:trPr/>
        <w:tc>
          <w:tcPr>
            <w:tcW w:w="7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tcMar>
              <w:bottom w:w="0" w:type="dxa"/>
            </w:tcMar>
            <w:vAlign w:val="center"/>
          </w:tcPr>
          <w:p>
            <w:pPr>
              <w:pStyle w:val="TableContents"/>
              <w:bidi w:val="0"/>
              <w:spacing w:before="0" w:after="283"/>
              <w:jc w:val="left"/>
              <w:rPr/>
            </w:pPr>
            <w:r>
              <w:rPr/>
              <w:t> </w:t>
            </w:r>
          </w:p>
        </w:tc>
        <w:tc>
          <w:tcPr>
            <w:tcW w:w="9332"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Specimen Certificate for Ordinary Shares (incorporated by reference to Exhibit 4.1 of our Registration Statement on Form F-1 (File No. 333-270741) initially filed with the Securities and Exchange Commission on March 22, 2023)</w:t>
              </w:r>
            </w:hyperlink>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2" w:type="dxa"/>
            <w:tcBorders/>
            <w:shd w:fill="CCEEFF" w:val="clear"/>
            <w:tcMar>
              <w:bottom w:w="0" w:type="dxa"/>
            </w:tcMar>
            <w:vAlign w:val="center"/>
          </w:tcPr>
          <w:p>
            <w:pPr>
              <w:pStyle w:val="TableContents"/>
              <w:bidi w:val="0"/>
              <w:spacing w:before="0" w:after="283"/>
              <w:jc w:val="both"/>
              <w:rPr/>
            </w:pPr>
            <w:hyperlink w:anchor="ea029738501ex2-2.htm">
              <w:r>
                <w:rPr>
                  <w:rStyle w:val="InternetLink"/>
                  <w:rFonts w:ascii="Times New Roman;Times;Serif" w:hAnsi="Times New Roman;Times;Serif"/>
                  <w:sz w:val="20"/>
                </w:rPr>
                <w:t>Description of Securities</w:t>
              </w:r>
            </w:hyperlink>
          </w:p>
        </w:tc>
      </w:tr>
      <w:tr>
        <w:trPr/>
        <w:tc>
          <w:tcPr>
            <w:tcW w:w="7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9332"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Form of Employment Agreement between the Registrant and its executive officers (incorporated by reference to Exhibit 10.1 of our Registration Statement on Form F-1 (File No. 333-270741) initially filed with the Securities and Exchange Commission on March 22, 2023)</w:t>
              </w:r>
            </w:hyperlink>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2"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Form of Indemnification Agreement between the Registrant and its directors and executive officers (incorporated by reference to Exhibit 10.2 of our Registration Statement on Form F-1 (File No. 333-270741) initially filed with the Securities and Exchange Commission on March 22, 2023)</w:t>
              </w:r>
            </w:hyperlink>
          </w:p>
        </w:tc>
      </w:tr>
      <w:tr>
        <w:trPr/>
        <w:tc>
          <w:tcPr>
            <w:tcW w:w="7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left"/>
              <w:rPr/>
            </w:pPr>
            <w:r>
              <w:rPr/>
              <w:t> </w:t>
            </w:r>
          </w:p>
        </w:tc>
        <w:tc>
          <w:tcPr>
            <w:tcW w:w="9332"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English translation of Contract on Leasing Plant and Dormitory in Qingxi Town, Dongguan, PRC, dated June 30, 2022 (incorporated by reference to Exhibit 10.3 of our Registration Statement on Form F-1 (File No. 333-270741) initially filed with the Securities and Exchange Commission on March 22, 2023)</w:t>
              </w:r>
            </w:hyperlink>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2"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English Translation of Lease Agreement between Japhet De Jong Holding B.V. and Leoco Europe B.V., dated March 22, 2016 (incorporated by reference to Exhibit 4.4 of our Annual Report on Form 20-F (File No. 001-41919), filed with the Securities and Exchange Commission on July 17, 2025)</w:t>
              </w:r>
            </w:hyperlink>
          </w:p>
        </w:tc>
      </w:tr>
      <w:tr>
        <w:trPr/>
        <w:tc>
          <w:tcPr>
            <w:tcW w:w="7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tcMar>
              <w:bottom w:w="0" w:type="dxa"/>
            </w:tcMar>
            <w:vAlign w:val="center"/>
          </w:tcPr>
          <w:p>
            <w:pPr>
              <w:pStyle w:val="TableContents"/>
              <w:bidi w:val="0"/>
              <w:spacing w:before="0" w:after="283"/>
              <w:jc w:val="left"/>
              <w:rPr/>
            </w:pPr>
            <w:r>
              <w:rPr/>
              <w:t> </w:t>
            </w:r>
          </w:p>
        </w:tc>
        <w:tc>
          <w:tcPr>
            <w:tcW w:w="9332"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Commercial Tenancy Agreement between CCSC Technology Group Limited and Sino Real Estate Agency Limited, dated November 23, 2023 (incorporated by reference to Exhibit 4.5 of our Annual Report on Form 20-F (File No. 001-41919), filed with the Securities and Exchange Commission on July 17, 2025)</w:t>
              </w:r>
            </w:hyperlink>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2"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English Translation of Equipment Lease Agreement between Dongguan Chengchuang Huliang Electronic Technology Co., Ltd. and Dongguan Taide Automation Technology Co., Ltd., dated November 6, 2023 (incorporated by reference to Exhibit 4.6 of our Annual Report on Form 20-F (File No. 001-41919), filed with the Securities and Exchange Commission on July 17, 2025)</w:t>
              </w:r>
            </w:hyperlink>
          </w:p>
        </w:tc>
      </w:tr>
      <w:tr>
        <w:trPr/>
        <w:tc>
          <w:tcPr>
            <w:tcW w:w="7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0" w:type="dxa"/>
            <w:tcBorders/>
            <w:tcMar>
              <w:bottom w:w="0" w:type="dxa"/>
            </w:tcMar>
            <w:vAlign w:val="center"/>
          </w:tcPr>
          <w:p>
            <w:pPr>
              <w:pStyle w:val="TableContents"/>
              <w:bidi w:val="0"/>
              <w:spacing w:before="0" w:after="283"/>
              <w:jc w:val="left"/>
              <w:rPr/>
            </w:pPr>
            <w:r>
              <w:rPr/>
              <w:t> </w:t>
            </w:r>
          </w:p>
        </w:tc>
        <w:tc>
          <w:tcPr>
            <w:tcW w:w="9332"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English Translation of Equipment Lease Agreement between Dongguan Chengchuang Huliang Electronic Technology Co., Ltd. and Shenzhen Qiuyi Technology Co., Ltd., dated November 7, 2023 (incorporated by reference to Exhibit 4.7 of our Annual Report on Form 20-F (File No. 001-41919), filed with the Securities and Exchange Commission on July 17, 2025)</w:t>
              </w:r>
            </w:hyperlink>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2" w:type="dxa"/>
            <w:tcBorders/>
            <w:shd w:fill="CCEE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Equipment Purchase and Sale Agreement between CCSC Interconnect Technology Limited and Jingna Trading Co., Limited, dated November 15, 2023 (incorporated by reference to Exhibit 4.8 of our Annual Report on Form 20-F (File No. 001-41919), filed with the Securities and Exchange Commission on July 17, 2025)</w:t>
              </w:r>
            </w:hyperlink>
          </w:p>
        </w:tc>
      </w:tr>
      <w:tr>
        <w:trPr/>
        <w:tc>
          <w:tcPr>
            <w:tcW w:w="7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0" w:type="dxa"/>
            <w:tcBorders/>
            <w:tcMar>
              <w:bottom w:w="0" w:type="dxa"/>
            </w:tcMar>
            <w:vAlign w:val="center"/>
          </w:tcPr>
          <w:p>
            <w:pPr>
              <w:pStyle w:val="TableContents"/>
              <w:bidi w:val="0"/>
              <w:spacing w:before="0" w:after="283"/>
              <w:jc w:val="left"/>
              <w:rPr/>
            </w:pPr>
            <w:r>
              <w:rPr/>
              <w:t> </w:t>
            </w:r>
          </w:p>
        </w:tc>
        <w:tc>
          <w:tcPr>
            <w:tcW w:w="9332"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Equipment Purchase Agreement between CCSC Interconnect Technology Limited and WSYQR Limited, dated November 26, 2023 (incorporated by reference to Exhibit 4.9 of our Annual Report on Form 20-F (File No. 001-41919), filed with the Securities and Exchange Commission on July 17, 2025)</w:t>
              </w:r>
            </w:hyperlink>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2" w:type="dxa"/>
            <w:tcBorders/>
            <w:shd w:fill="CCEE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Technology Purchase Agreement, between CCSC Technology International Holdings Limited and Asia Resource Holdings Limited, dated April 29, 2026 (incorporated by reference to Exhibit 10.1 of our Report on Form 6-K (File No. 001-41919), filed with the Securities and Exchange Commission on May 1, 2026)</w:t>
              </w:r>
            </w:hyperlink>
          </w:p>
        </w:tc>
      </w:tr>
      <w:tr>
        <w:trPr/>
        <w:tc>
          <w:tcPr>
            <w:tcW w:w="7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90" w:type="dxa"/>
            <w:tcBorders/>
            <w:tcMar>
              <w:bottom w:w="0" w:type="dxa"/>
            </w:tcMar>
            <w:vAlign w:val="center"/>
          </w:tcPr>
          <w:p>
            <w:pPr>
              <w:pStyle w:val="TableContents"/>
              <w:bidi w:val="0"/>
              <w:spacing w:before="0" w:after="283"/>
              <w:jc w:val="left"/>
              <w:rPr/>
            </w:pPr>
            <w:r>
              <w:rPr/>
              <w:t> </w:t>
            </w:r>
          </w:p>
        </w:tc>
        <w:tc>
          <w:tcPr>
            <w:tcW w:w="9332"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Software Purchase Agreement, among CCSC Technology International Holdings Limited, CCSC Interconnect Technology Limited, and Coventry Company Limited, dated February 25, 2026 (incorporated by reference to Exhibit 10.1 of our Report on Form 6-K (File No. 001-41919), filed with the Securities and Exchange Commission on February 25, 2026)</w:t>
              </w:r>
            </w:hyperlink>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2" w:type="dxa"/>
            <w:tcBorders/>
            <w:shd w:fill="CCEEFF" w:val="clear"/>
            <w:tcMar>
              <w:bottom w:w="0" w:type="dxa"/>
            </w:tcMar>
            <w:vAlign w:val="center"/>
          </w:tcPr>
          <w:p>
            <w:pPr>
              <w:pStyle w:val="TableContents"/>
              <w:bidi w:val="0"/>
              <w:spacing w:before="0" w:after="283"/>
              <w:jc w:val="both"/>
              <w:rPr/>
            </w:pPr>
            <w:hyperlink w:anchor="ea029738501ex4-12.htm">
              <w:r>
                <w:rPr>
                  <w:rStyle w:val="InternetLink"/>
                  <w:rFonts w:ascii="Times New Roman;Times;Serif" w:hAnsi="Times New Roman;Times;Serif"/>
                  <w:sz w:val="20"/>
                </w:rPr>
                <w:t>Design and Build Contract between CCSC Technology Doo Beograd and Konstruktor Konsalting Doo Beograd, dated November 14, 2025.</w:t>
              </w:r>
            </w:hyperlink>
          </w:p>
        </w:tc>
      </w:tr>
      <w:tr>
        <w:trPr/>
        <w:tc>
          <w:tcPr>
            <w:tcW w:w="7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90" w:type="dxa"/>
            <w:tcBorders/>
            <w:tcMar>
              <w:bottom w:w="0" w:type="dxa"/>
            </w:tcMar>
            <w:vAlign w:val="center"/>
          </w:tcPr>
          <w:p>
            <w:pPr>
              <w:pStyle w:val="TableContents"/>
              <w:bidi w:val="0"/>
              <w:spacing w:before="0" w:after="283"/>
              <w:jc w:val="left"/>
              <w:rPr/>
            </w:pPr>
            <w:r>
              <w:rPr/>
              <w:t> </w:t>
            </w:r>
          </w:p>
        </w:tc>
        <w:tc>
          <w:tcPr>
            <w:tcW w:w="9332" w:type="dxa"/>
            <w:tcBorders/>
            <w:tcMar>
              <w:bottom w:w="0" w:type="dxa"/>
            </w:tcMar>
            <w:vAlign w:val="center"/>
          </w:tcPr>
          <w:p>
            <w:pPr>
              <w:pStyle w:val="TableContents"/>
              <w:bidi w:val="0"/>
              <w:spacing w:before="0" w:after="283"/>
              <w:jc w:val="both"/>
              <w:rPr/>
            </w:pPr>
            <w:hyperlink w:anchor="ea029738501ex4-13.htm">
              <w:r>
                <w:rPr>
                  <w:rStyle w:val="InternetLink"/>
                  <w:rFonts w:ascii="Times New Roman;Times;Serif" w:hAnsi="Times New Roman;Times;Serif"/>
                  <w:sz w:val="20"/>
                </w:rPr>
                <w:t>Market Development and Business Expansion Agreement between CCSC Technology International Holdings Limited and Jeddah Fung Trading Limited, dated October 8, 2025.</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1"/>
        <w:gridCol w:w="90"/>
        <w:gridCol w:w="9644"/>
      </w:tblGrid>
      <w:tr>
        <w:trPr/>
        <w:tc>
          <w:tcPr>
            <w:tcW w:w="4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0" w:type="dxa"/>
            <w:tcBorders/>
            <w:shd w:fill="CCEEFF" w:val="clear"/>
            <w:vAlign w:val="center"/>
          </w:tcPr>
          <w:p>
            <w:pPr>
              <w:pStyle w:val="TableContents"/>
              <w:bidi w:val="0"/>
              <w:spacing w:before="0" w:after="283"/>
              <w:jc w:val="left"/>
              <w:rPr/>
            </w:pPr>
            <w:r>
              <w:rPr/>
              <w:t> </w:t>
            </w:r>
          </w:p>
        </w:tc>
        <w:tc>
          <w:tcPr>
            <w:tcW w:w="9644"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sz w:val="20"/>
                </w:rPr>
                <w:t>Principal Subsidiaries and Consolidated Affiliated Entities (incorporated by reference to Exhibit 21.1 of our Registration Statement on Form F-1 (File No. 333-270741) initially filed with the Securities and Exchange Commission on March 22, 2023)</w:t>
              </w:r>
            </w:hyperlink>
          </w:p>
        </w:tc>
      </w:tr>
      <w:tr>
        <w:trPr/>
        <w:tc>
          <w:tcPr>
            <w:tcW w:w="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0" w:type="dxa"/>
            <w:tcBorders/>
            <w:vAlign w:val="center"/>
          </w:tcPr>
          <w:p>
            <w:pPr>
              <w:pStyle w:val="TableContents"/>
              <w:bidi w:val="0"/>
              <w:spacing w:before="0" w:after="283"/>
              <w:jc w:val="left"/>
              <w:rPr/>
            </w:pPr>
            <w:r>
              <w:rPr/>
              <w:t> </w:t>
            </w:r>
          </w:p>
        </w:tc>
        <w:tc>
          <w:tcPr>
            <w:tcW w:w="9644" w:type="dxa"/>
            <w:tcBorders/>
            <w:vAlign w:val="center"/>
          </w:tcPr>
          <w:p>
            <w:pPr>
              <w:pStyle w:val="TableContents"/>
              <w:bidi w:val="0"/>
              <w:spacing w:before="0" w:after="283"/>
              <w:jc w:val="both"/>
              <w:rPr/>
            </w:pPr>
            <w:hyperlink r:id="rId26">
              <w:r>
                <w:rPr>
                  <w:rStyle w:val="InternetLink"/>
                  <w:rFonts w:ascii="Times New Roman;Times;Serif" w:hAnsi="Times New Roman;Times;Serif"/>
                  <w:sz w:val="20"/>
                </w:rPr>
                <w:t>Code of Business Conduct and Ethics of the Registrant (incorporated by reference to Exhibit 14.1 of our Registration Statement on Form F-1 (File No. 333-270741) initially filed with the Securities and Exchange Commission on March 22, 2023)</w:t>
              </w:r>
            </w:hyperlink>
          </w:p>
        </w:tc>
      </w:tr>
      <w:tr>
        <w:trPr/>
        <w:tc>
          <w:tcPr>
            <w:tcW w:w="4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0" w:type="dxa"/>
            <w:tcBorders/>
            <w:shd w:fill="CCEEFF" w:val="clear"/>
            <w:vAlign w:val="center"/>
          </w:tcPr>
          <w:p>
            <w:pPr>
              <w:pStyle w:val="TableContents"/>
              <w:bidi w:val="0"/>
              <w:spacing w:before="0" w:after="283"/>
              <w:jc w:val="left"/>
              <w:rPr/>
            </w:pPr>
            <w:r>
              <w:rPr/>
              <w:t> </w:t>
            </w:r>
          </w:p>
        </w:tc>
        <w:tc>
          <w:tcPr>
            <w:tcW w:w="9644"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sz w:val="20"/>
                </w:rPr>
                <w:t>Insider Trading Policy of the Registrant (incorporated by reference to Exhibit 11.2 of our Annual Report on Form 20-F (File No. 001-41919), filed with the Securities and Exchange Commission on July 22, 2024)</w:t>
              </w:r>
            </w:hyperlink>
          </w:p>
        </w:tc>
      </w:tr>
      <w:tr>
        <w:trPr/>
        <w:tc>
          <w:tcPr>
            <w:tcW w:w="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0" w:type="dxa"/>
            <w:tcBorders/>
            <w:vAlign w:val="center"/>
          </w:tcPr>
          <w:p>
            <w:pPr>
              <w:pStyle w:val="TableContents"/>
              <w:bidi w:val="0"/>
              <w:spacing w:before="0" w:after="283"/>
              <w:jc w:val="left"/>
              <w:rPr/>
            </w:pPr>
            <w:r>
              <w:rPr/>
              <w:t> </w:t>
            </w:r>
          </w:p>
        </w:tc>
        <w:tc>
          <w:tcPr>
            <w:tcW w:w="9644" w:type="dxa"/>
            <w:tcBorders/>
            <w:vAlign w:val="center"/>
          </w:tcPr>
          <w:p>
            <w:pPr>
              <w:pStyle w:val="TableContents"/>
              <w:bidi w:val="0"/>
              <w:spacing w:before="0" w:after="283"/>
              <w:jc w:val="both"/>
              <w:rPr/>
            </w:pPr>
            <w:hyperlink w:anchor="ea029738501ex12-1.htm">
              <w:r>
                <w:rPr>
                  <w:rStyle w:val="InternetLink"/>
                  <w:rFonts w:ascii="Times New Roman;Times;Serif" w:hAnsi="Times New Roman;Times;Serif"/>
                  <w:sz w:val="20"/>
                </w:rPr>
                <w:t>Certification of Chief Executive Officer pursuant to Section 302 of the Sarbanes-Oxley Act of 2002</w:t>
              </w:r>
            </w:hyperlink>
          </w:p>
        </w:tc>
      </w:tr>
      <w:tr>
        <w:trPr/>
        <w:tc>
          <w:tcPr>
            <w:tcW w:w="4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0" w:type="dxa"/>
            <w:tcBorders/>
            <w:shd w:fill="CCEEFF" w:val="clear"/>
            <w:vAlign w:val="center"/>
          </w:tcPr>
          <w:p>
            <w:pPr>
              <w:pStyle w:val="TableContents"/>
              <w:bidi w:val="0"/>
              <w:spacing w:before="0" w:after="283"/>
              <w:jc w:val="left"/>
              <w:rPr/>
            </w:pPr>
            <w:r>
              <w:rPr/>
              <w:t> </w:t>
            </w:r>
          </w:p>
        </w:tc>
        <w:tc>
          <w:tcPr>
            <w:tcW w:w="9644" w:type="dxa"/>
            <w:tcBorders/>
            <w:shd w:fill="CCEEFF" w:val="clear"/>
            <w:vAlign w:val="center"/>
          </w:tcPr>
          <w:p>
            <w:pPr>
              <w:pStyle w:val="TableContents"/>
              <w:bidi w:val="0"/>
              <w:spacing w:before="0" w:after="283"/>
              <w:jc w:val="both"/>
              <w:rPr/>
            </w:pPr>
            <w:hyperlink w:anchor="ea029738501ex12-2.htm">
              <w:r>
                <w:rPr>
                  <w:rStyle w:val="InternetLink"/>
                  <w:rFonts w:ascii="Times New Roman;Times;Serif" w:hAnsi="Times New Roman;Times;Serif"/>
                  <w:sz w:val="20"/>
                </w:rPr>
                <w:t>Certification of Chief Financial Officer pursuant to Section 302 of the Sarbanes-Oxley Act of 2002</w:t>
              </w:r>
            </w:hyperlink>
          </w:p>
        </w:tc>
      </w:tr>
      <w:tr>
        <w:trPr/>
        <w:tc>
          <w:tcPr>
            <w:tcW w:w="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0" w:type="dxa"/>
            <w:tcBorders/>
            <w:vAlign w:val="center"/>
          </w:tcPr>
          <w:p>
            <w:pPr>
              <w:pStyle w:val="TableContents"/>
              <w:bidi w:val="0"/>
              <w:spacing w:before="0" w:after="283"/>
              <w:jc w:val="left"/>
              <w:rPr/>
            </w:pPr>
            <w:r>
              <w:rPr/>
              <w:t> </w:t>
            </w:r>
          </w:p>
        </w:tc>
        <w:tc>
          <w:tcPr>
            <w:tcW w:w="9644" w:type="dxa"/>
            <w:tcBorders/>
            <w:vAlign w:val="center"/>
          </w:tcPr>
          <w:p>
            <w:pPr>
              <w:pStyle w:val="TableContents"/>
              <w:bidi w:val="0"/>
              <w:spacing w:before="0" w:after="283"/>
              <w:jc w:val="both"/>
              <w:rPr/>
            </w:pPr>
            <w:hyperlink w:anchor="ea029738501ex13-1.htm">
              <w:r>
                <w:rPr>
                  <w:rStyle w:val="InternetLink"/>
                  <w:rFonts w:ascii="Times New Roman;Times;Serif" w:hAnsi="Times New Roman;Times;Serif"/>
                  <w:sz w:val="20"/>
                </w:rPr>
                <w:t>Certification of Chief Executive Officer pursuant to 18 U.S.C. Section 1350, as adopted pursuant to Section 906 of the Sarbanes-Oxley Act of 2002</w:t>
              </w:r>
            </w:hyperlink>
          </w:p>
        </w:tc>
      </w:tr>
      <w:tr>
        <w:trPr/>
        <w:tc>
          <w:tcPr>
            <w:tcW w:w="4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90" w:type="dxa"/>
            <w:tcBorders/>
            <w:shd w:fill="CCEEFF" w:val="clear"/>
            <w:vAlign w:val="center"/>
          </w:tcPr>
          <w:p>
            <w:pPr>
              <w:pStyle w:val="TableContents"/>
              <w:bidi w:val="0"/>
              <w:spacing w:before="0" w:after="283"/>
              <w:jc w:val="left"/>
              <w:rPr/>
            </w:pPr>
            <w:r>
              <w:rPr/>
              <w:t> </w:t>
            </w:r>
          </w:p>
        </w:tc>
        <w:tc>
          <w:tcPr>
            <w:tcW w:w="9644" w:type="dxa"/>
            <w:tcBorders/>
            <w:shd w:fill="CCEEFF" w:val="clear"/>
            <w:vAlign w:val="center"/>
          </w:tcPr>
          <w:p>
            <w:pPr>
              <w:pStyle w:val="TableContents"/>
              <w:bidi w:val="0"/>
              <w:spacing w:before="0" w:after="283"/>
              <w:jc w:val="both"/>
              <w:rPr/>
            </w:pPr>
            <w:hyperlink w:anchor="ea029738501ex13-2.htm">
              <w:r>
                <w:rPr>
                  <w:rStyle w:val="InternetLink"/>
                  <w:rFonts w:ascii="Times New Roman;Times;Serif" w:hAnsi="Times New Roman;Times;Serif"/>
                  <w:sz w:val="20"/>
                </w:rPr>
                <w:t>Certification of Chief Financial Officer pursuant to 18 U.S.C. Section 1350, as adopted pursuant to Section 906 of the Sarbanes-Oxley Act of 2002</w:t>
              </w:r>
            </w:hyperlink>
          </w:p>
        </w:tc>
      </w:tr>
      <w:tr>
        <w:trPr/>
        <w:tc>
          <w:tcPr>
            <w:tcW w:w="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0" w:type="dxa"/>
            <w:tcBorders/>
            <w:vAlign w:val="center"/>
          </w:tcPr>
          <w:p>
            <w:pPr>
              <w:pStyle w:val="TableContents"/>
              <w:bidi w:val="0"/>
              <w:spacing w:before="0" w:after="283"/>
              <w:jc w:val="left"/>
              <w:rPr/>
            </w:pPr>
            <w:r>
              <w:rPr/>
              <w:t> </w:t>
            </w:r>
          </w:p>
        </w:tc>
        <w:tc>
          <w:tcPr>
            <w:tcW w:w="9644" w:type="dxa"/>
            <w:tcBorders/>
            <w:vAlign w:val="center"/>
          </w:tcPr>
          <w:p>
            <w:pPr>
              <w:pStyle w:val="TableContents"/>
              <w:bidi w:val="0"/>
              <w:spacing w:before="0" w:after="283"/>
              <w:jc w:val="both"/>
              <w:rPr/>
            </w:pPr>
            <w:hyperlink w:anchor="ea029738501ex15-1.htm">
              <w:r>
                <w:rPr>
                  <w:rStyle w:val="InternetLink"/>
                  <w:rFonts w:ascii="Times New Roman;Times;Serif" w:hAnsi="Times New Roman;Times;Serif"/>
                  <w:sz w:val="20"/>
                </w:rPr>
                <w:t>Consent of Marcum Asia CPAs LLP</w:t>
              </w:r>
            </w:hyperlink>
          </w:p>
        </w:tc>
      </w:tr>
      <w:tr>
        <w:trPr/>
        <w:tc>
          <w:tcPr>
            <w:tcW w:w="4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0" w:type="dxa"/>
            <w:tcBorders/>
            <w:shd w:fill="CCEEFF" w:val="clear"/>
            <w:vAlign w:val="center"/>
          </w:tcPr>
          <w:p>
            <w:pPr>
              <w:pStyle w:val="TableContents"/>
              <w:bidi w:val="0"/>
              <w:spacing w:before="0" w:after="283"/>
              <w:jc w:val="left"/>
              <w:rPr/>
            </w:pPr>
            <w:r>
              <w:rPr/>
              <w:t> </w:t>
            </w:r>
          </w:p>
        </w:tc>
        <w:tc>
          <w:tcPr>
            <w:tcW w:w="9644" w:type="dxa"/>
            <w:tcBorders/>
            <w:shd w:fill="CCEEFF" w:val="clear"/>
            <w:vAlign w:val="center"/>
          </w:tcPr>
          <w:p>
            <w:pPr>
              <w:pStyle w:val="TableContents"/>
              <w:bidi w:val="0"/>
              <w:spacing w:before="0" w:after="283"/>
              <w:jc w:val="both"/>
              <w:rPr/>
            </w:pPr>
            <w:hyperlink w:anchor="ea029738501ex15-2.htm">
              <w:r>
                <w:rPr>
                  <w:rStyle w:val="InternetLink"/>
                  <w:rFonts w:ascii="Times New Roman;Times;Serif" w:hAnsi="Times New Roman;Times;Serif"/>
                  <w:sz w:val="20"/>
                </w:rPr>
                <w:t>Consent of Enrome LLP</w:t>
              </w:r>
            </w:hyperlink>
          </w:p>
        </w:tc>
      </w:tr>
      <w:tr>
        <w:trPr/>
        <w:tc>
          <w:tcPr>
            <w:tcW w:w="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vAlign w:val="center"/>
          </w:tcPr>
          <w:p>
            <w:pPr>
              <w:pStyle w:val="TableContents"/>
              <w:bidi w:val="0"/>
              <w:spacing w:before="0" w:after="283"/>
              <w:jc w:val="left"/>
              <w:rPr/>
            </w:pPr>
            <w:r>
              <w:rPr/>
              <w:t> </w:t>
            </w:r>
          </w:p>
        </w:tc>
        <w:tc>
          <w:tcPr>
            <w:tcW w:w="9644" w:type="dxa"/>
            <w:tcBorders/>
            <w:vAlign w:val="center"/>
          </w:tcPr>
          <w:p>
            <w:pPr>
              <w:pStyle w:val="TableContents"/>
              <w:bidi w:val="0"/>
              <w:spacing w:before="0" w:after="283"/>
              <w:jc w:val="both"/>
              <w:rPr/>
            </w:pPr>
            <w:hyperlink r:id="rId28">
              <w:r>
                <w:rPr>
                  <w:rStyle w:val="InternetLink"/>
                  <w:rFonts w:ascii="Times New Roman;Times;Serif" w:hAnsi="Times New Roman;Times;Serif"/>
                  <w:sz w:val="20"/>
                </w:rPr>
                <w:t>Compensation Recovery Policy of the Registrant (incorporated by reference to Exhibit 97.1 of our Annual Report on Form 20-F (File No. 001-41919), filed with the Securities and Exchange Commission on July 22, 2024)</w:t>
              </w:r>
            </w:hyperlink>
          </w:p>
        </w:tc>
      </w:tr>
      <w:tr>
        <w:trPr/>
        <w:tc>
          <w:tcPr>
            <w:tcW w:w="4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964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financial statements from the Company’s Annual Report on Form 20-F for the year ended March 31, 2026, formatted in Inline XBRL: (i) Consolidated Balance Sheets, (ii) Consolidated Statements of Operations and Comprehensive Income (Loss), (iii) Consolidated Statements of Changes in Shareholders’ Equity, (iv) Consolidated Statements of Cash Flows, and (v) Notes to Consolidated Financial Statements, tagged as blocks of text and including detailed tags</w:t>
            </w:r>
          </w:p>
        </w:tc>
      </w:tr>
      <w:tr>
        <w:trPr/>
        <w:tc>
          <w:tcPr>
            <w:tcW w:w="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96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275"/>
        <w:gridCol w:w="7400"/>
      </w:tblGrid>
      <w:tr>
        <w:trPr/>
        <w:tc>
          <w:tcPr>
            <w:tcW w:w="275" w:type="dxa"/>
            <w:tcBorders/>
            <w:vAlign w:val="center"/>
          </w:tcPr>
          <w:p>
            <w:pPr>
              <w:pStyle w:val="TableContents"/>
              <w:bidi w:val="0"/>
              <w:spacing w:before="0" w:after="283"/>
              <w:jc w:val="left"/>
              <w:rPr>
                <w:sz w:val="20"/>
              </w:rPr>
            </w:pPr>
            <w:r>
              <w:rPr>
                <w:sz w:val="20"/>
              </w:rPr>
              <w:t>*</w:t>
            </w:r>
          </w:p>
        </w:tc>
        <w:tc>
          <w:tcPr>
            <w:tcW w:w="7400" w:type="dxa"/>
            <w:tcBorders/>
            <w:vAlign w:val="center"/>
          </w:tcPr>
          <w:p>
            <w:pPr>
              <w:pStyle w:val="TableContents"/>
              <w:bidi w:val="0"/>
              <w:spacing w:before="0" w:after="283"/>
              <w:jc w:val="both"/>
              <w:rPr>
                <w:sz w:val="20"/>
              </w:rPr>
            </w:pPr>
            <w:r>
              <w:rPr>
                <w:sz w:val="20"/>
              </w:rPr>
              <w:t>Filed with this annual report on Form 20-F</w:t>
            </w:r>
          </w:p>
        </w:tc>
      </w:tr>
      <w:tr>
        <w:trPr/>
        <w:tc>
          <w:tcPr>
            <w:tcW w:w="275" w:type="dxa"/>
            <w:tcBorders/>
            <w:vAlign w:val="center"/>
          </w:tcPr>
          <w:p>
            <w:pPr>
              <w:pStyle w:val="TableContents"/>
              <w:bidi w:val="0"/>
              <w:spacing w:before="0" w:after="283"/>
              <w:jc w:val="left"/>
              <w:rPr>
                <w:sz w:val="20"/>
              </w:rPr>
            </w:pPr>
            <w:r>
              <w:rPr>
                <w:sz w:val="20"/>
              </w:rPr>
              <w:t>**</w:t>
            </w:r>
          </w:p>
        </w:tc>
        <w:tc>
          <w:tcPr>
            <w:tcW w:w="7400" w:type="dxa"/>
            <w:tcBorders/>
            <w:vAlign w:val="center"/>
          </w:tcPr>
          <w:p>
            <w:pPr>
              <w:pStyle w:val="TableContents"/>
              <w:bidi w:val="0"/>
              <w:spacing w:before="0" w:after="283"/>
              <w:jc w:val="both"/>
              <w:rPr>
                <w:sz w:val="20"/>
              </w:rPr>
            </w:pPr>
            <w:r>
              <w:rPr>
                <w:sz w:val="20"/>
              </w:rPr>
              <w:t>Furnished with this annual report on Form 20-F</w:t>
            </w:r>
          </w:p>
        </w:tc>
      </w:tr>
      <w:tr>
        <w:trPr/>
        <w:tc>
          <w:tcPr>
            <w:tcW w:w="275" w:type="dxa"/>
            <w:tcBorders/>
            <w:vAlign w:val="center"/>
          </w:tcPr>
          <w:p>
            <w:pPr>
              <w:pStyle w:val="TableContents"/>
              <w:bidi w:val="0"/>
              <w:spacing w:before="0" w:after="283"/>
              <w:jc w:val="left"/>
              <w:rPr>
                <w:sz w:val="20"/>
              </w:rPr>
            </w:pPr>
            <w:r>
              <w:rPr>
                <w:sz w:val="20"/>
              </w:rPr>
              <w:t>#</w:t>
            </w:r>
          </w:p>
        </w:tc>
        <w:tc>
          <w:tcPr>
            <w:tcW w:w="7400" w:type="dxa"/>
            <w:tcBorders/>
            <w:vAlign w:val="center"/>
          </w:tcPr>
          <w:p>
            <w:pPr>
              <w:pStyle w:val="TableContents"/>
              <w:bidi w:val="0"/>
              <w:spacing w:before="0" w:after="283"/>
              <w:jc w:val="both"/>
              <w:rPr>
                <w:sz w:val="20"/>
              </w:rPr>
            </w:pPr>
            <w:r>
              <w:rPr>
                <w:sz w:val="20"/>
              </w:rPr>
              <w:t>Portions of this exhibit have been omitted in accordance with Item 601 of Regulation S-K.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tbl>
      <w:tblPr>
        <w:tblW w:w="5874" w:type="dxa"/>
        <w:jc w:val="left"/>
        <w:tblInd w:w="0" w:type="dxa"/>
        <w:tblLayout w:type="fixed"/>
        <w:tblCellMar>
          <w:top w:w="0" w:type="dxa"/>
          <w:left w:w="0" w:type="dxa"/>
          <w:bottom w:w="0" w:type="dxa"/>
          <w:right w:w="0" w:type="dxa"/>
        </w:tblCellMar>
      </w:tblPr>
      <w:tblGrid>
        <w:gridCol w:w="1655"/>
        <w:gridCol w:w="432"/>
        <w:gridCol w:w="3787"/>
      </w:tblGrid>
      <w:tr>
        <w:trPr/>
        <w:tc>
          <w:tcPr>
            <w:tcW w:w="165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sz w:val="20"/>
              </w:rPr>
            </w:pPr>
            <w:r>
              <w:rPr>
                <w:sz w:val="20"/>
              </w:rPr>
              <w:t>CCSC Technology International Holdings Limited</w:t>
            </w:r>
          </w:p>
        </w:tc>
      </w:tr>
      <w:tr>
        <w:trPr/>
        <w:tc>
          <w:tcPr>
            <w:tcW w:w="165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3787"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sz w:val="20"/>
              </w:rPr>
            </w:pPr>
            <w:r>
              <w:rPr>
                <w:sz w:val="20"/>
              </w:rPr>
              <w:t>By:</w:t>
            </w:r>
          </w:p>
        </w:tc>
        <w:tc>
          <w:tcPr>
            <w:tcW w:w="3787"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Kung Lok Chiu</w:t>
            </w:r>
          </w:p>
        </w:tc>
      </w:tr>
      <w:tr>
        <w:trPr/>
        <w:tc>
          <w:tcPr>
            <w:tcW w:w="165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3787" w:type="dxa"/>
            <w:tcBorders/>
            <w:vAlign w:val="center"/>
          </w:tcPr>
          <w:p>
            <w:pPr>
              <w:pStyle w:val="TableContents"/>
              <w:bidi w:val="0"/>
              <w:spacing w:before="0" w:after="283"/>
              <w:jc w:val="left"/>
              <w:rPr>
                <w:sz w:val="20"/>
              </w:rPr>
            </w:pPr>
            <w:r>
              <w:rPr>
                <w:sz w:val="20"/>
              </w:rPr>
              <w:t>Kung Lok Chiu</w:t>
            </w:r>
          </w:p>
        </w:tc>
      </w:tr>
      <w:tr>
        <w:trPr/>
        <w:tc>
          <w:tcPr>
            <w:tcW w:w="165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3787" w:type="dxa"/>
            <w:tcBorders/>
            <w:vAlign w:val="center"/>
          </w:tcPr>
          <w:p>
            <w:pPr>
              <w:pStyle w:val="TableContents"/>
              <w:bidi w:val="0"/>
              <w:spacing w:before="0" w:after="283"/>
              <w:jc w:val="left"/>
              <w:rPr>
                <w:sz w:val="20"/>
              </w:rPr>
            </w:pPr>
            <w:r>
              <w:rPr>
                <w:sz w:val="20"/>
              </w:rPr>
              <w:t>Chief Executive Officer and Director</w:t>
            </w:r>
          </w:p>
        </w:tc>
      </w:tr>
      <w:tr>
        <w:trPr/>
        <w:tc>
          <w:tcPr>
            <w:tcW w:w="165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3787" w:type="dxa"/>
            <w:tcBorders/>
            <w:vAlign w:val="center"/>
          </w:tcPr>
          <w:p>
            <w:pPr>
              <w:pStyle w:val="TableContents"/>
              <w:bidi w:val="0"/>
              <w:spacing w:before="0" w:after="283"/>
              <w:jc w:val="left"/>
              <w:rPr>
                <w:sz w:val="20"/>
              </w:rPr>
            </w:pPr>
            <w:r>
              <w:rPr>
                <w:sz w:val="20"/>
              </w:rPr>
              <w:t>(Principal Executive Officer)</w:t>
            </w:r>
          </w:p>
        </w:tc>
      </w:tr>
      <w:tr>
        <w:trPr/>
        <w:tc>
          <w:tcPr>
            <w:tcW w:w="165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3787"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July 17, 2026</w:t>
            </w:r>
          </w:p>
        </w:tc>
        <w:tc>
          <w:tcPr>
            <w:tcW w:w="432" w:type="dxa"/>
            <w:tcBorders/>
            <w:vAlign w:val="center"/>
          </w:tcPr>
          <w:p>
            <w:pPr>
              <w:pStyle w:val="TableContents"/>
              <w:bidi w:val="0"/>
              <w:spacing w:before="0" w:after="283"/>
              <w:jc w:val="left"/>
              <w:rPr/>
            </w:pPr>
            <w:r>
              <w:rPr/>
              <w:t> </w:t>
            </w:r>
          </w:p>
        </w:tc>
        <w:tc>
          <w:tcPr>
            <w:tcW w:w="378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CCSC TECHNOLOGY INTERNATIONAL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82"/>
        <w:gridCol w:w="90"/>
        <w:gridCol w:w="833"/>
      </w:tblGrid>
      <w:tr>
        <w:trPr/>
        <w:tc>
          <w:tcPr>
            <w:tcW w:w="9282"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33" w:type="dxa"/>
            <w:tcBorders>
              <w:bottom w:val="single" w:sz="12" w:space="0" w:color="000000"/>
            </w:tcBorders>
            <w:tcMar>
              <w:bottom w:w="28" w:type="dxa"/>
            </w:tcMar>
            <w:vAlign w:val="center"/>
          </w:tcPr>
          <w:p>
            <w:pPr>
              <w:pStyle w:val="TableContents"/>
              <w:bidi w:val="0"/>
              <w:spacing w:before="0" w:after="283"/>
              <w:ind w:left="0" w:right="0" w:hanging="180"/>
              <w:jc w:val="center"/>
              <w:rPr>
                <w:sz w:val="20"/>
              </w:rPr>
            </w:pPr>
            <w:r>
              <w:rPr>
                <w:b/>
                <w:sz w:val="20"/>
              </w:rPr>
              <w:t>PAGE(S)</w:t>
            </w:r>
            <w:r>
              <w:rPr>
                <w:sz w:val="20"/>
              </w:rPr>
              <w:t> </w:t>
            </w:r>
          </w:p>
        </w:tc>
      </w:tr>
      <w:tr>
        <w:trPr/>
        <w:tc>
          <w:tcPr>
            <w:tcW w:w="9282" w:type="dxa"/>
            <w:tcBorders/>
            <w:shd w:fill="CCEEFF" w:val="clear"/>
            <w:vAlign w:val="center"/>
          </w:tcPr>
          <w:p>
            <w:pPr>
              <w:pStyle w:val="TableContents"/>
              <w:bidi w:val="0"/>
              <w:spacing w:before="0" w:after="283"/>
              <w:jc w:val="left"/>
              <w:rPr/>
            </w:pPr>
            <w:hyperlink w:anchor="f_001">
              <w:r>
                <w:rPr>
                  <w:rStyle w:val="InternetLink"/>
                  <w:sz w:val="20"/>
                </w:rPr>
                <w:t>REPORTS OF INDEPENDENT REGISTERED PUBLIC ACCOUNTING FIRM (PCAOB ID:6907)</w:t>
              </w:r>
            </w:hyperlink>
          </w:p>
        </w:tc>
        <w:tc>
          <w:tcPr>
            <w:tcW w:w="9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ind w:left="0" w:right="0" w:hanging="180"/>
              <w:jc w:val="center"/>
              <w:rPr>
                <w:sz w:val="20"/>
              </w:rPr>
            </w:pPr>
            <w:r>
              <w:rPr>
                <w:sz w:val="20"/>
              </w:rPr>
              <w:t>F-2</w:t>
            </w:r>
          </w:p>
        </w:tc>
      </w:tr>
      <w:tr>
        <w:trPr/>
        <w:tc>
          <w:tcPr>
            <w:tcW w:w="9282" w:type="dxa"/>
            <w:tcBorders/>
            <w:vAlign w:val="center"/>
          </w:tcPr>
          <w:p>
            <w:pPr>
              <w:pStyle w:val="TableContents"/>
              <w:bidi w:val="0"/>
              <w:spacing w:before="0" w:after="283"/>
              <w:jc w:val="left"/>
              <w:rPr/>
            </w:pPr>
            <w:hyperlink w:anchor="f_002">
              <w:r>
                <w:rPr>
                  <w:rStyle w:val="InternetLink"/>
                  <w:sz w:val="20"/>
                </w:rPr>
                <w:t>REPORTS OF INDEPENDENT REGISTERED PUBLIC ACCOUNTING FIRM (PCAOB ID:5395)</w:t>
              </w:r>
            </w:hyperlink>
          </w:p>
        </w:tc>
        <w:tc>
          <w:tcPr>
            <w:tcW w:w="9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ind w:left="0" w:right="0" w:hanging="180"/>
              <w:jc w:val="center"/>
              <w:rPr>
                <w:sz w:val="20"/>
              </w:rPr>
            </w:pPr>
            <w:r>
              <w:rPr>
                <w:sz w:val="20"/>
              </w:rPr>
              <w:t>F-3</w:t>
            </w:r>
          </w:p>
        </w:tc>
      </w:tr>
      <w:tr>
        <w:trPr/>
        <w:tc>
          <w:tcPr>
            <w:tcW w:w="9282" w:type="dxa"/>
            <w:tcBorders/>
            <w:shd w:fill="CCEEFF" w:val="clear"/>
            <w:vAlign w:val="center"/>
          </w:tcPr>
          <w:p>
            <w:pPr>
              <w:pStyle w:val="TableContents"/>
              <w:bidi w:val="0"/>
              <w:spacing w:before="0" w:after="283"/>
              <w:jc w:val="left"/>
              <w:rPr/>
            </w:pPr>
            <w:hyperlink w:anchor="f_003">
              <w:r>
                <w:rPr>
                  <w:rStyle w:val="InternetLink"/>
                  <w:sz w:val="20"/>
                </w:rPr>
                <w:t>CONSOLIDATED BALANCE SHEETS AS OF MARCH 31, 2026 AND 2025</w:t>
              </w:r>
            </w:hyperlink>
          </w:p>
        </w:tc>
        <w:tc>
          <w:tcPr>
            <w:tcW w:w="9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ind w:left="0" w:right="0" w:hanging="180"/>
              <w:jc w:val="center"/>
              <w:rPr>
                <w:sz w:val="20"/>
              </w:rPr>
            </w:pPr>
            <w:r>
              <w:rPr>
                <w:sz w:val="20"/>
              </w:rPr>
              <w:t>F-4</w:t>
            </w:r>
          </w:p>
        </w:tc>
      </w:tr>
      <w:tr>
        <w:trPr/>
        <w:tc>
          <w:tcPr>
            <w:tcW w:w="9282" w:type="dxa"/>
            <w:tcBorders/>
            <w:vAlign w:val="center"/>
          </w:tcPr>
          <w:p>
            <w:pPr>
              <w:pStyle w:val="TableContents"/>
              <w:bidi w:val="0"/>
              <w:spacing w:before="0" w:after="283"/>
              <w:jc w:val="left"/>
              <w:rPr/>
            </w:pPr>
            <w:hyperlink w:anchor="f_004">
              <w:r>
                <w:rPr>
                  <w:rStyle w:val="InternetLink"/>
                  <w:sz w:val="20"/>
                </w:rPr>
                <w:t>CONSOLIDATED STATEMENTS OF OPERATIONS AND COMPREHENSIVE LOSS FOR THE YEARS ENDED MARCH 31, 2026, 2025 AND 2024</w:t>
              </w:r>
            </w:hyperlink>
          </w:p>
        </w:tc>
        <w:tc>
          <w:tcPr>
            <w:tcW w:w="9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ind w:left="0" w:right="0" w:hanging="180"/>
              <w:jc w:val="center"/>
              <w:rPr>
                <w:sz w:val="20"/>
              </w:rPr>
            </w:pPr>
            <w:r>
              <w:rPr>
                <w:sz w:val="20"/>
              </w:rPr>
              <w:t>F-5</w:t>
            </w:r>
          </w:p>
        </w:tc>
      </w:tr>
      <w:tr>
        <w:trPr/>
        <w:tc>
          <w:tcPr>
            <w:tcW w:w="9282" w:type="dxa"/>
            <w:tcBorders/>
            <w:shd w:fill="CCEEFF" w:val="clear"/>
            <w:vAlign w:val="center"/>
          </w:tcPr>
          <w:p>
            <w:pPr>
              <w:pStyle w:val="TableContents"/>
              <w:bidi w:val="0"/>
              <w:spacing w:before="0" w:after="283"/>
              <w:jc w:val="left"/>
              <w:rPr/>
            </w:pPr>
            <w:hyperlink w:anchor="f_005">
              <w:r>
                <w:rPr>
                  <w:rStyle w:val="InternetLink"/>
                  <w:sz w:val="20"/>
                </w:rPr>
                <w:t>CONSOLIDATED STATEMENTS OF CHANGES IN SHAREHOLDERS’ EQUITY FOR THE YEARS ENDED MARCH 31, 2026, 2025 AND 2024</w:t>
              </w:r>
            </w:hyperlink>
          </w:p>
        </w:tc>
        <w:tc>
          <w:tcPr>
            <w:tcW w:w="9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ind w:left="0" w:right="0" w:hanging="180"/>
              <w:jc w:val="center"/>
              <w:rPr>
                <w:sz w:val="20"/>
              </w:rPr>
            </w:pPr>
            <w:r>
              <w:rPr>
                <w:sz w:val="20"/>
              </w:rPr>
              <w:t>F-6</w:t>
            </w:r>
          </w:p>
        </w:tc>
      </w:tr>
      <w:tr>
        <w:trPr/>
        <w:tc>
          <w:tcPr>
            <w:tcW w:w="9282" w:type="dxa"/>
            <w:tcBorders/>
            <w:vAlign w:val="center"/>
          </w:tcPr>
          <w:p>
            <w:pPr>
              <w:pStyle w:val="TableContents"/>
              <w:bidi w:val="0"/>
              <w:spacing w:before="0" w:after="283"/>
              <w:jc w:val="left"/>
              <w:rPr/>
            </w:pPr>
            <w:hyperlink w:anchor="f_006">
              <w:r>
                <w:rPr>
                  <w:rStyle w:val="InternetLink"/>
                  <w:sz w:val="20"/>
                </w:rPr>
                <w:t>CONSOLIDATED STATEMENTS OF CASH FLOWS FOR THE YEARS ENDED MARCH 31, 2026, 2025 AND 2024</w:t>
              </w:r>
            </w:hyperlink>
          </w:p>
        </w:tc>
        <w:tc>
          <w:tcPr>
            <w:tcW w:w="9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ind w:left="0" w:right="0" w:hanging="180"/>
              <w:jc w:val="center"/>
              <w:rPr>
                <w:sz w:val="20"/>
              </w:rPr>
            </w:pPr>
            <w:r>
              <w:rPr>
                <w:sz w:val="20"/>
              </w:rPr>
              <w:t>F-7</w:t>
            </w:r>
          </w:p>
        </w:tc>
      </w:tr>
      <w:tr>
        <w:trPr/>
        <w:tc>
          <w:tcPr>
            <w:tcW w:w="9282" w:type="dxa"/>
            <w:tcBorders/>
            <w:shd w:fill="CCEEFF" w:val="clear"/>
            <w:vAlign w:val="center"/>
          </w:tcPr>
          <w:p>
            <w:pPr>
              <w:pStyle w:val="TableContents"/>
              <w:bidi w:val="0"/>
              <w:spacing w:before="0" w:after="283"/>
              <w:jc w:val="left"/>
              <w:rPr/>
            </w:pPr>
            <w:hyperlink w:anchor="f_007">
              <w:r>
                <w:rPr>
                  <w:rStyle w:val="InternetLink"/>
                  <w:sz w:val="20"/>
                </w:rPr>
                <w:t>NOTES TO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center"/>
              <w:rPr>
                <w:sz w:val="20"/>
              </w:rPr>
            </w:pPr>
            <w:r>
              <w:rPr>
                <w:sz w:val="20"/>
              </w:rPr>
              <w:t>F-8 – F-31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f_001"/>
      <w:bookmarkEnd w:id="3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Technology International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CCSC Technology International Holdings Limited and its subsidiaries (collectively, the “Group”) as of March 31, 2026 and 2025, the related consolidated statements of operations and comprehensive loss, consolidated statements of changes in shareholders’ equity and consolidated statements of cash flows for the years ended March 31, 2026 and 2025, including the related notes (collectively referred to as the “consolidated financial statements”). In our opinion, the consolidated financial statements present fairly, in all material respects, consolidated financial position of the Group as of March 31, 2026 and 2025, and the results of its operations and its cash flows for the years ended March 31, 2026 and 2025, in conformity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audited the adjustments described in Notes 12 and 14 that were applied to the 2024 consolidated financial statements to retrospectively reflect the adoption of ASU 2023-09, Income Taxes (Topic 740), and the effects of the dual-class share structure and share consolidation. In our opinion, such adjustments are appropriate and have been properly applied. We were not engaged to audit, review, or apply any procedures to the 2024 consolidated financial statements of the Group other than with respect to such adjustments and, accordingly, we do not express an opinion or any other form of assurance on the 2024 consolidated financial statements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Group’s management. Our responsibility is to express an opinion on the Group’s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misstatements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presentation.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Enrome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33575" cy="247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9"/>
                    <a:stretch>
                      <a:fillRect/>
                    </a:stretch>
                  </pic:blipFill>
                  <pic:spPr bwMode="auto">
                    <a:xfrm>
                      <a:off x="0" y="0"/>
                      <a:ext cx="1933575" cy="2476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f_002"/>
      <w:bookmarkEnd w:id="3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Technology International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effects of the adjustments to retrospectively apply the change in accounting described in Note 12 and retrospective adjustment related to the share structure change and share consolidation described in Note 14, the accompanying consolidated statements of operations and comprehensive loss, change in shareholders’ equity, and cash flows of CCSC Technology International Holdings Limited. and its subsidiaries (collectively, the “Company”) for the year ended March 31, 2024, and the related notes (collectively referred to as the “consolidated financial statements” before the effects of the adjustments discussed in Notes 12 and 14 are not presented 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consolidated financial statements, before the effects of the adjustments to retrospectively apply the change in accounting described in Note 12 and retrospective adjustment related to the share structure change and share consolidation described in Note 14, present fairly, in all material respects, the results of its operations and its cash flows for the year ended March 31, 2024,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adjustments to retrospectively apply the change in accounting described in Note 12 and retrospective adjustment related to the share structure change and share consolidation described in Note 14 and, accordingly, we do not express an opinion or any other form of assurance about whether such adjustments are appropriate and have been properly applied. Those adjustments were audited by Enrome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2022 to 2024. (such date takes into account the acquisition of certain assets of Friedman LLP by Marcum Asia CPAs LLP effective September 1,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_003"/>
      <w:bookmarkEnd w:id="39"/>
      <w:r>
        <w:rPr>
          <w:rFonts w:ascii="Times New Roman;Times;Serif" w:hAnsi="Times New Roman;Times;Serif"/>
          <w:b/>
          <w:i w:val="false"/>
          <w:caps w:val="false"/>
          <w:smallCaps w:val="false"/>
          <w:sz w:val="20"/>
        </w:rPr>
        <w:t>CCSC TECHNOLOGY INTERNATIONAL HOLDINGS LIMITED</w:t>
        <w:br/>
        <w:t>CONSOLIDATED BALANCE SHEETS</w:t>
        <w:br/>
        <w:t>(Amount in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3"/>
        <w:gridCol w:w="90"/>
        <w:gridCol w:w="170"/>
        <w:gridCol w:w="1130"/>
        <w:gridCol w:w="125"/>
        <w:gridCol w:w="90"/>
        <w:gridCol w:w="170"/>
        <w:gridCol w:w="1130"/>
        <w:gridCol w:w="147"/>
      </w:tblGrid>
      <w:tr>
        <w:trPr/>
        <w:tc>
          <w:tcPr>
            <w:tcW w:w="71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47" w:type="dxa"/>
            <w:tcBorders/>
            <w:vAlign w:val="center"/>
          </w:tcPr>
          <w:p>
            <w:pPr>
              <w:pStyle w:val="TableContents"/>
              <w:bidi w:val="0"/>
              <w:spacing w:before="0" w:after="283"/>
              <w:jc w:val="left"/>
              <w:rPr/>
            </w:pPr>
            <w:r>
              <w:rPr/>
              <w:t> </w:t>
            </w:r>
          </w:p>
        </w:tc>
      </w:tr>
      <w:tr>
        <w:trPr/>
        <w:tc>
          <w:tcPr>
            <w:tcW w:w="71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7" w:type="dxa"/>
            <w:tcBorders/>
            <w:vAlign w:val="center"/>
          </w:tcPr>
          <w:p>
            <w:pPr>
              <w:pStyle w:val="TableContents"/>
              <w:bidi w:val="0"/>
              <w:spacing w:before="0" w:after="283"/>
              <w:jc w:val="left"/>
              <w:rPr/>
            </w:pPr>
            <w:r>
              <w:rPr/>
              <w:t> </w:t>
            </w:r>
          </w:p>
        </w:tc>
      </w:tr>
      <w:tr>
        <w:trPr/>
        <w:tc>
          <w:tcPr>
            <w:tcW w:w="7153"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r>
      <w:tr>
        <w:trPr/>
        <w:tc>
          <w:tcPr>
            <w:tcW w:w="7153"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4,093,878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3,685,043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10,227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9,413</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2,831,064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2,495,301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2,301,216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1,761,880</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1,669,571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1,066,032</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10,905,956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9,017,669</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Non-current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Property, plant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1,980,764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853,959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67,537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83,906</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Operating lease right-of-use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868,418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1,106,024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Finance lease right-of-use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146,732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194,478</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Deferred tax assets,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19,308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558,683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Other non-current assets,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4,302,029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3,510,363</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b/>
              </w:rPr>
            </w:pPr>
            <w:r>
              <w:rPr>
                <w:b/>
              </w:rPr>
              <w:t>Total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7,384,788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6,307,413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18,290,744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15,325,082</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Liabilities and Shareholders’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b/>
              </w:rPr>
            </w:pPr>
            <w:r>
              <w:rPr>
                <w:b/>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2,781,034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1,819,647</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Advance from customers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317,751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141,737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1,472,141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1,345,210</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Taxes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30,651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21,916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Operating lease liabilities,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573,650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473,116</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Finance lease liabilities,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38,816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36,277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5,214,043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3,837,903</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Non-current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Operating lease liabilities,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296,436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633,249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Finance lease liabilities, non-current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88,723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127,834</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b/>
              </w:rPr>
            </w:pPr>
            <w:r>
              <w:rPr>
                <w:b/>
              </w:rPr>
              <w:t>Total non-current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385,159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761,083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5,599,202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4,598,986</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Commitments and Contingencies (Note 16)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Shareholders’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Class A ordinary shares, par value of US$0.005 per share; 49,500,000 shares authorized; 3,413,520 and 658,125 shares issued and outstanding as of March 31, 2026 and 2025,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17,068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3,291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Class B ordinary shares, par value of US$0.005 per share; 500,000 shares authorized; 500,000 shares issued and outstanding as of March 31, 2026 and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2,500</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11,182,908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4,855,795</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Statutory reserve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813,235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813,235</w:t>
            </w:r>
          </w:p>
        </w:tc>
        <w:tc>
          <w:tcPr>
            <w:tcW w:w="147" w:type="dxa"/>
            <w:tcBorders/>
            <w:vAlign w:val="center"/>
          </w:tcPr>
          <w:p>
            <w:pPr>
              <w:pStyle w:val="TableContents"/>
              <w:bidi w:val="0"/>
              <w:spacing w:before="0" w:after="283"/>
              <w:ind w:left="0" w:right="0" w:hanging="180"/>
              <w:jc w:val="left"/>
              <w:rPr/>
            </w:pPr>
            <w:r>
              <w:rPr/>
              <w:t> </w:t>
            </w:r>
          </w:p>
        </w:tc>
      </w:tr>
      <w:tr>
        <w:trPr/>
        <w:tc>
          <w:tcPr>
            <w:tcW w:w="7153" w:type="dxa"/>
            <w:tcBorders/>
            <w:shd w:fill="CCEEFF" w:val="clear"/>
            <w:vAlign w:val="center"/>
          </w:tcPr>
          <w:p>
            <w:pPr>
              <w:pStyle w:val="TableContents"/>
              <w:bidi w:val="0"/>
              <w:spacing w:before="0" w:after="283"/>
              <w:jc w:val="left"/>
              <w:rPr/>
            </w:pPr>
            <w:r>
              <w:rPr/>
              <w:t>Retained earnings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2,275,757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7,081,318</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pPr>
            <w:r>
              <w:rPr/>
              <w:t>Accumulated other comprehensive loss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(1,599,926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(2,030,043</w:t>
            </w:r>
          </w:p>
        </w:tc>
        <w:tc>
          <w:tcPr>
            <w:tcW w:w="147" w:type="dxa"/>
            <w:tcBorders/>
            <w:vAlign w:val="center"/>
          </w:tcPr>
          <w:p>
            <w:pPr>
              <w:pStyle w:val="TableContents"/>
              <w:bidi w:val="0"/>
              <w:spacing w:before="0" w:after="283"/>
              <w:ind w:left="0" w:right="0" w:hanging="180"/>
              <w:jc w:val="left"/>
              <w:rPr/>
            </w:pPr>
            <w:r>
              <w:rPr/>
              <w:t>)</w:t>
            </w:r>
          </w:p>
        </w:tc>
      </w:tr>
      <w:tr>
        <w:trPr/>
        <w:tc>
          <w:tcPr>
            <w:tcW w:w="7153" w:type="dxa"/>
            <w:tcBorders/>
            <w:shd w:fill="CCEEFF" w:val="clear"/>
            <w:vAlign w:val="center"/>
          </w:tcPr>
          <w:p>
            <w:pPr>
              <w:pStyle w:val="TableContents"/>
              <w:bidi w:val="0"/>
              <w:spacing w:before="0" w:after="283"/>
              <w:jc w:val="left"/>
              <w:rPr>
                <w:b/>
              </w:rPr>
            </w:pPr>
            <w:r>
              <w:rPr>
                <w:b/>
              </w:rPr>
              <w:t>Total Shareholders’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12,691,542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10,726,096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153" w:type="dxa"/>
            <w:tcBorders/>
            <w:vAlign w:val="center"/>
          </w:tcPr>
          <w:p>
            <w:pPr>
              <w:pStyle w:val="TableContents"/>
              <w:bidi w:val="0"/>
              <w:spacing w:before="0" w:after="283"/>
              <w:jc w:val="left"/>
              <w:rPr>
                <w:b/>
              </w:rPr>
            </w:pPr>
            <w:r>
              <w:rPr>
                <w:b/>
              </w:rPr>
              <w:t>TOTAL LIABILITIES AND SHAREHOLDERS’ EQUITY</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18,290,744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15,325,082</w:t>
            </w:r>
          </w:p>
        </w:tc>
        <w:tc>
          <w:tcPr>
            <w:tcW w:w="14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85"/>
        <w:gridCol w:w="9740"/>
      </w:tblGrid>
      <w:tr>
        <w:trPr/>
        <w:tc>
          <w:tcPr>
            <w:tcW w:w="185"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Retrospectively restated for effect of the share consolidation completed in January 2026 (see Note 14).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_004"/>
      <w:bookmarkEnd w:id="40"/>
      <w:r>
        <w:rPr>
          <w:rFonts w:ascii="Times New Roman;Times;Serif" w:hAnsi="Times New Roman;Times;Serif"/>
          <w:b/>
          <w:i w:val="false"/>
          <w:caps w:val="false"/>
          <w:smallCaps w:val="false"/>
          <w:sz w:val="20"/>
        </w:rPr>
        <w:t>CCSC TECHNOLOGY INTERNATIONAL HOLDINGS LIMITED</w:t>
        <w:br/>
        <w:t>CONSOLIDATED STATEMENTS OF OPERATIONS AND COMPREHENSIVE LOSS</w:t>
        <w:br/>
        <w:t>(Amount in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9500" w:type="dxa"/>
        <w:jc w:val="left"/>
        <w:tblInd w:w="0" w:type="dxa"/>
        <w:tblLayout w:type="fixed"/>
        <w:tblCellMar>
          <w:top w:w="0" w:type="dxa"/>
          <w:left w:w="0" w:type="dxa"/>
          <w:bottom w:w="0" w:type="dxa"/>
          <w:right w:w="0" w:type="dxa"/>
        </w:tblCellMar>
      </w:tblPr>
      <w:tblGrid>
        <w:gridCol w:w="4685"/>
        <w:gridCol w:w="90"/>
        <w:gridCol w:w="170"/>
        <w:gridCol w:w="1205"/>
        <w:gridCol w:w="125"/>
        <w:gridCol w:w="90"/>
        <w:gridCol w:w="170"/>
        <w:gridCol w:w="1205"/>
        <w:gridCol w:w="125"/>
        <w:gridCol w:w="90"/>
        <w:gridCol w:w="170"/>
        <w:gridCol w:w="1205"/>
        <w:gridCol w:w="170"/>
      </w:tblGrid>
      <w:tr>
        <w:trPr/>
        <w:tc>
          <w:tcPr>
            <w:tcW w:w="4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7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180"/>
              <w:jc w:val="left"/>
              <w:rPr/>
            </w:pPr>
            <w:r>
              <w:rPr/>
              <w:t> </w:t>
            </w:r>
          </w:p>
        </w:tc>
      </w:tr>
      <w:tr>
        <w:trPr/>
        <w:tc>
          <w:tcPr>
            <w:tcW w:w="4685" w:type="dxa"/>
            <w:tcBorders/>
            <w:shd w:fill="CCEEFF" w:val="clear"/>
            <w:vAlign w:val="center"/>
          </w:tcPr>
          <w:p>
            <w:pPr>
              <w:pStyle w:val="TableContents"/>
              <w:bidi w:val="0"/>
              <w:spacing w:before="0" w:after="283"/>
              <w:jc w:val="left"/>
              <w:rPr>
                <w:b/>
              </w:rPr>
            </w:pPr>
            <w:r>
              <w:rPr>
                <w:b/>
              </w:rPr>
              <w:t>Net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17,302,744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17,631,489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14,748,551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(12,238,334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(12,647,287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(10,825,943</w:t>
            </w:r>
          </w:p>
        </w:tc>
        <w:tc>
          <w:tcPr>
            <w:tcW w:w="170" w:type="dxa"/>
            <w:tcBorders/>
            <w:vAlign w:val="center"/>
          </w:tcPr>
          <w:p>
            <w:pPr>
              <w:pStyle w:val="TableContents"/>
              <w:bidi w:val="0"/>
              <w:spacing w:before="0" w:after="283"/>
              <w:ind w:left="0" w:right="0" w:hanging="180"/>
              <w:jc w:val="left"/>
              <w:rPr/>
            </w:pPr>
            <w:r>
              <w:rPr/>
              <w:t>)</w:t>
            </w:r>
          </w:p>
        </w:tc>
      </w:tr>
      <w:tr>
        <w:trPr/>
        <w:tc>
          <w:tcPr>
            <w:tcW w:w="4685"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5,064,410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4,984,202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3,922,608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685" w:type="dxa"/>
            <w:tcBorders/>
            <w:shd w:fill="CCEEFF" w:val="clear"/>
            <w:vAlign w:val="center"/>
          </w:tcPr>
          <w:p>
            <w:pPr>
              <w:pStyle w:val="TableContents"/>
              <w:bidi w:val="0"/>
              <w:spacing w:before="0" w:after="283"/>
              <w:jc w:val="left"/>
              <w:rPr>
                <w:b/>
              </w:rPr>
            </w:pPr>
            <w:r>
              <w:rPr>
                <w:b/>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left"/>
              <w:rPr/>
            </w:pPr>
            <w:r>
              <w:rPr/>
              <w:t>Selling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(2,216,650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(1,695,217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(1,039,882</w:t>
            </w:r>
          </w:p>
        </w:tc>
        <w:tc>
          <w:tcPr>
            <w:tcW w:w="170" w:type="dxa"/>
            <w:tcBorders/>
            <w:vAlign w:val="center"/>
          </w:tcPr>
          <w:p>
            <w:pPr>
              <w:pStyle w:val="TableContents"/>
              <w:bidi w:val="0"/>
              <w:spacing w:before="0" w:after="283"/>
              <w:ind w:left="0" w:right="0" w:hanging="180"/>
              <w:jc w:val="left"/>
              <w:rPr/>
            </w:pPr>
            <w:r>
              <w:rPr/>
              <w:t>)</w:t>
            </w:r>
          </w:p>
        </w:tc>
      </w:tr>
      <w:tr>
        <w:trPr/>
        <w:tc>
          <w:tcPr>
            <w:tcW w:w="468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(4,606,701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(4,601,637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(4,134,394</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4685"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(1,699,630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(654,039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(594,521</w:t>
            </w:r>
          </w:p>
        </w:tc>
        <w:tc>
          <w:tcPr>
            <w:tcW w:w="170" w:type="dxa"/>
            <w:tcBorders/>
            <w:vAlign w:val="center"/>
          </w:tcPr>
          <w:p>
            <w:pPr>
              <w:pStyle w:val="TableContents"/>
              <w:bidi w:val="0"/>
              <w:spacing w:before="0" w:after="283"/>
              <w:ind w:left="0" w:right="0" w:hanging="180"/>
              <w:jc w:val="left"/>
              <w:rPr/>
            </w:pPr>
            <w:r>
              <w:rPr/>
              <w:t>)</w:t>
            </w:r>
          </w:p>
        </w:tc>
      </w:tr>
      <w:tr>
        <w:trPr/>
        <w:tc>
          <w:tcPr>
            <w:tcW w:w="4685" w:type="dxa"/>
            <w:tcBorders/>
            <w:shd w:fill="CCEEFF" w:val="clear"/>
            <w:vAlign w:val="center"/>
          </w:tcPr>
          <w:p>
            <w:pPr>
              <w:pStyle w:val="TableContents"/>
              <w:bidi w:val="0"/>
              <w:spacing w:before="0" w:after="283"/>
              <w:jc w:val="left"/>
              <w:rPr>
                <w:b/>
              </w:rPr>
            </w:pPr>
            <w:r>
              <w:rPr>
                <w:b/>
              </w:rPr>
              <w:t>Total 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(8,522,981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(6,950,893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(5,768,797</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4685" w:type="dxa"/>
            <w:tcBorders/>
            <w:vAlign w:val="center"/>
          </w:tcPr>
          <w:p>
            <w:pPr>
              <w:pStyle w:val="TableContents"/>
              <w:bidi w:val="0"/>
              <w:spacing w:before="0" w:after="283"/>
              <w:jc w:val="left"/>
              <w:rPr>
                <w:b/>
              </w:rPr>
            </w:pPr>
            <w:r>
              <w:rPr>
                <w:b/>
              </w:rPr>
              <w:t>Loss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(3,458,571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(1,966,691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(1,846,189</w:t>
            </w:r>
          </w:p>
        </w:tc>
        <w:tc>
          <w:tcPr>
            <w:tcW w:w="170" w:type="dxa"/>
            <w:tcBorders/>
            <w:vAlign w:val="center"/>
          </w:tcPr>
          <w:p>
            <w:pPr>
              <w:pStyle w:val="TableContents"/>
              <w:bidi w:val="0"/>
              <w:spacing w:before="0" w:after="283"/>
              <w:ind w:left="0" w:right="0" w:hanging="180"/>
              <w:jc w:val="left"/>
              <w:rPr>
                <w:b/>
              </w:rPr>
            </w:pPr>
            <w:r>
              <w:rPr>
                <w:b/>
              </w:rPr>
              <w:t>)</w:t>
            </w:r>
          </w:p>
        </w:tc>
      </w:tr>
      <w:tr>
        <w:trPr/>
        <w:tc>
          <w:tcPr>
            <w:tcW w:w="46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left"/>
              <w:rPr>
                <w:b/>
              </w:rPr>
            </w:pPr>
            <w:r>
              <w:rPr>
                <w:b/>
              </w:rPr>
              <w:t>Other (loss)/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685" w:type="dxa"/>
            <w:tcBorders/>
            <w:shd w:fill="CCEEFF" w:val="clear"/>
            <w:vAlign w:val="center"/>
          </w:tcPr>
          <w:p>
            <w:pPr>
              <w:pStyle w:val="TableContents"/>
              <w:bidi w:val="0"/>
              <w:spacing w:before="0" w:after="283"/>
              <w:jc w:val="left"/>
              <w:rPr/>
            </w:pPr>
            <w:r>
              <w:rPr/>
              <w:t>Foreign currency exchange (loss)/income,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(419,431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67,395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425,308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left"/>
              <w:rPr/>
            </w:pPr>
            <w:r>
              <w:rPr/>
              <w:t>Financial and interest (loss)/income,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(21,962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10,538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67,636</w:t>
            </w:r>
          </w:p>
        </w:tc>
        <w:tc>
          <w:tcPr>
            <w:tcW w:w="170" w:type="dxa"/>
            <w:tcBorders/>
            <w:vAlign w:val="center"/>
          </w:tcPr>
          <w:p>
            <w:pPr>
              <w:pStyle w:val="TableContents"/>
              <w:bidi w:val="0"/>
              <w:spacing w:before="0" w:after="283"/>
              <w:ind w:left="0" w:right="0" w:hanging="180"/>
              <w:jc w:val="left"/>
              <w:rPr/>
            </w:pPr>
            <w:r>
              <w:rPr/>
              <w:t> </w:t>
            </w:r>
          </w:p>
        </w:tc>
      </w:tr>
      <w:tr>
        <w:trPr/>
        <w:tc>
          <w:tcPr>
            <w:tcW w:w="4685" w:type="dxa"/>
            <w:tcBorders/>
            <w:shd w:fill="CCEEFF" w:val="clear"/>
            <w:vAlign w:val="center"/>
          </w:tcPr>
          <w:p>
            <w:pPr>
              <w:pStyle w:val="TableContents"/>
              <w:bidi w:val="0"/>
              <w:spacing w:before="0" w:after="283"/>
              <w:jc w:val="left"/>
              <w:rPr/>
            </w:pPr>
            <w:r>
              <w:rPr/>
              <w:t>Government subsidy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207,257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7,255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left"/>
              <w:rPr/>
            </w:pPr>
            <w:r>
              <w:rPr/>
              <w:t>Other non-operating income/(expenses),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55,968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(35,509</w:t>
            </w:r>
          </w:p>
        </w:tc>
        <w:tc>
          <w:tcPr>
            <w:tcW w:w="170" w:type="dxa"/>
            <w:tcBorders/>
            <w:vAlign w:val="center"/>
          </w:tcPr>
          <w:p>
            <w:pPr>
              <w:pStyle w:val="TableContents"/>
              <w:bidi w:val="0"/>
              <w:spacing w:before="0" w:after="283"/>
              <w:ind w:left="0" w:right="0" w:hanging="180"/>
              <w:jc w:val="left"/>
              <w:rPr/>
            </w:pPr>
            <w:r>
              <w:rPr/>
              <w:t>)</w:t>
            </w:r>
          </w:p>
        </w:tc>
      </w:tr>
      <w:tr>
        <w:trPr/>
        <w:tc>
          <w:tcPr>
            <w:tcW w:w="4685" w:type="dxa"/>
            <w:tcBorders/>
            <w:shd w:fill="CCEEFF" w:val="clear"/>
            <w:vAlign w:val="center"/>
          </w:tcPr>
          <w:p>
            <w:pPr>
              <w:pStyle w:val="TableContents"/>
              <w:bidi w:val="0"/>
              <w:spacing w:before="0" w:after="283"/>
              <w:jc w:val="left"/>
              <w:rPr>
                <w:b/>
              </w:rPr>
            </w:pPr>
            <w:r>
              <w:rPr>
                <w:b/>
              </w:rPr>
              <w:t>Total other (loss)/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(385,425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285,724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464,690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685" w:type="dxa"/>
            <w:tcBorders/>
            <w:shd w:fill="CCEEFF" w:val="clear"/>
            <w:vAlign w:val="center"/>
          </w:tcPr>
          <w:p>
            <w:pPr>
              <w:pStyle w:val="TableContents"/>
              <w:bidi w:val="0"/>
              <w:spacing w:before="0" w:after="283"/>
              <w:jc w:val="left"/>
              <w:rPr>
                <w:b/>
              </w:rPr>
            </w:pPr>
            <w:r>
              <w:rPr>
                <w:b/>
              </w:rPr>
              <w:t>Loss before 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(3,843,996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(1,680,967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(1,381,499</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4685" w:type="dxa"/>
            <w:tcBorders/>
            <w:vAlign w:val="center"/>
          </w:tcPr>
          <w:p>
            <w:pPr>
              <w:pStyle w:val="TableContents"/>
              <w:bidi w:val="0"/>
              <w:spacing w:before="0" w:after="283"/>
              <w:jc w:val="left"/>
              <w:rPr/>
            </w:pPr>
            <w:r>
              <w:rPr/>
              <w:t>Income tax (expenses)/benefit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(961,565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270,502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86,336</w:t>
            </w:r>
          </w:p>
        </w:tc>
        <w:tc>
          <w:tcPr>
            <w:tcW w:w="170" w:type="dxa"/>
            <w:tcBorders/>
            <w:vAlign w:val="center"/>
          </w:tcPr>
          <w:p>
            <w:pPr>
              <w:pStyle w:val="TableContents"/>
              <w:bidi w:val="0"/>
              <w:spacing w:before="0" w:after="283"/>
              <w:ind w:left="0" w:right="0" w:hanging="180"/>
              <w:jc w:val="left"/>
              <w:rPr/>
            </w:pPr>
            <w:r>
              <w:rPr/>
              <w:t> </w:t>
            </w:r>
          </w:p>
        </w:tc>
      </w:tr>
      <w:tr>
        <w:trPr/>
        <w:tc>
          <w:tcPr>
            <w:tcW w:w="4685"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(4,805,561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(1,410,465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(1,295,163</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46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685" w:type="dxa"/>
            <w:tcBorders/>
            <w:shd w:fill="CCEEFF" w:val="clear"/>
            <w:vAlign w:val="center"/>
          </w:tcPr>
          <w:p>
            <w:pPr>
              <w:pStyle w:val="TableContents"/>
              <w:bidi w:val="0"/>
              <w:spacing w:before="0" w:after="283"/>
              <w:jc w:val="left"/>
              <w:rPr>
                <w:b/>
              </w:rPr>
            </w:pPr>
            <w:r>
              <w:rPr>
                <w:b/>
              </w:rPr>
              <w:t>Other comprehensive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430,117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(161,106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(523,250</w:t>
            </w:r>
          </w:p>
        </w:tc>
        <w:tc>
          <w:tcPr>
            <w:tcW w:w="170" w:type="dxa"/>
            <w:tcBorders/>
            <w:vAlign w:val="center"/>
          </w:tcPr>
          <w:p>
            <w:pPr>
              <w:pStyle w:val="TableContents"/>
              <w:bidi w:val="0"/>
              <w:spacing w:before="0" w:after="283"/>
              <w:ind w:left="0" w:right="0" w:hanging="180"/>
              <w:jc w:val="left"/>
              <w:rPr/>
            </w:pPr>
            <w:r>
              <w:rPr/>
              <w:t>)</w:t>
            </w:r>
          </w:p>
        </w:tc>
      </w:tr>
      <w:tr>
        <w:trPr/>
        <w:tc>
          <w:tcPr>
            <w:tcW w:w="4685" w:type="dxa"/>
            <w:tcBorders/>
            <w:shd w:fill="CCEEFF" w:val="clear"/>
            <w:vAlign w:val="center"/>
          </w:tcPr>
          <w:p>
            <w:pPr>
              <w:pStyle w:val="TableContents"/>
              <w:bidi w:val="0"/>
              <w:spacing w:before="0" w:after="283"/>
              <w:jc w:val="left"/>
              <w:rPr>
                <w:b/>
              </w:rPr>
            </w:pPr>
            <w:r>
              <w:rPr>
                <w:b/>
              </w:rPr>
              <w:t>Total comprehensive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(4,375,444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(1,571,571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(1,818,413</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46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685" w:type="dxa"/>
            <w:tcBorders/>
            <w:shd w:fill="CCEEFF" w:val="clear"/>
            <w:vAlign w:val="center"/>
          </w:tcPr>
          <w:p>
            <w:pPr>
              <w:pStyle w:val="TableContents"/>
              <w:bidi w:val="0"/>
              <w:spacing w:before="0" w:after="283"/>
              <w:jc w:val="left"/>
              <w:rPr>
                <w:b/>
              </w:rPr>
            </w:pPr>
            <w:r>
              <w:rPr>
                <w:b/>
              </w:rPr>
              <w:t>Loss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(1.26</w:t>
            </w:r>
          </w:p>
        </w:tc>
        <w:tc>
          <w:tcPr>
            <w:tcW w:w="170" w:type="dxa"/>
            <w:tcBorders/>
            <w:vAlign w:val="center"/>
          </w:tcPr>
          <w:p>
            <w:pPr>
              <w:pStyle w:val="TableContents"/>
              <w:bidi w:val="0"/>
              <w:spacing w:before="0" w:after="283"/>
              <w:ind w:left="0" w:right="0" w:hanging="180"/>
              <w:jc w:val="left"/>
              <w:rPr/>
            </w:pPr>
            <w:r>
              <w:rPr/>
              <w:t>)</w:t>
            </w:r>
          </w:p>
        </w:tc>
      </w:tr>
      <w:tr>
        <w:trPr/>
        <w:tc>
          <w:tcPr>
            <w:tcW w:w="4685" w:type="dxa"/>
            <w:tcBorders/>
            <w:shd w:fill="CCEEFF" w:val="clear"/>
            <w:vAlign w:val="center"/>
          </w:tcPr>
          <w:p>
            <w:pPr>
              <w:pStyle w:val="TableContents"/>
              <w:bidi w:val="0"/>
              <w:spacing w:before="0" w:after="283"/>
              <w:jc w:val="left"/>
              <w:rPr>
                <w:b/>
              </w:rPr>
            </w:pPr>
            <w:r>
              <w:rPr>
                <w:b/>
              </w:rPr>
              <w:t>Weighted average number of ordinary shares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685"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2,480,584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1,158,125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1,028,852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Retrospectively restated for effect of the share consolidation completed in January 2026 (see Note 14). The EPS amounts pertain to each class of common stock are the same.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_005"/>
      <w:bookmarkEnd w:id="41"/>
      <w:r>
        <w:rPr>
          <w:rFonts w:ascii="Times New Roman;Times;Serif" w:hAnsi="Times New Roman;Times;Serif"/>
          <w:b/>
          <w:i w:val="false"/>
          <w:caps w:val="false"/>
          <w:smallCaps w:val="false"/>
          <w:sz w:val="20"/>
        </w:rPr>
        <w:t>CCSC TECHNOLOGY INTERNATIONAL HOLDINGS LIMITED</w:t>
        <w:br/>
        <w:t>CONSOLIDATED STATEMENTS OF CHANGES IN SHAREHOLDERS’ EQUITY</w:t>
        <w:br/>
        <w:t>(Amount in thousands of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1770" w:type="dxa"/>
        <w:jc w:val="left"/>
        <w:tblInd w:w="0" w:type="dxa"/>
        <w:tblLayout w:type="fixed"/>
        <w:tblCellMar>
          <w:top w:w="0" w:type="dxa"/>
          <w:left w:w="0" w:type="dxa"/>
          <w:bottom w:w="0" w:type="dxa"/>
          <w:right w:w="0" w:type="dxa"/>
        </w:tblCellMar>
      </w:tblPr>
      <w:tblGrid>
        <w:gridCol w:w="1130"/>
        <w:gridCol w:w="90"/>
        <w:gridCol w:w="90"/>
        <w:gridCol w:w="770"/>
        <w:gridCol w:w="90"/>
        <w:gridCol w:w="90"/>
        <w:gridCol w:w="140"/>
        <w:gridCol w:w="545"/>
        <w:gridCol w:w="90"/>
        <w:gridCol w:w="90"/>
        <w:gridCol w:w="90"/>
        <w:gridCol w:w="635"/>
        <w:gridCol w:w="90"/>
        <w:gridCol w:w="90"/>
        <w:gridCol w:w="149"/>
        <w:gridCol w:w="486"/>
        <w:gridCol w:w="90"/>
        <w:gridCol w:w="90"/>
        <w:gridCol w:w="203"/>
        <w:gridCol w:w="747"/>
        <w:gridCol w:w="110"/>
        <w:gridCol w:w="90"/>
        <w:gridCol w:w="140"/>
        <w:gridCol w:w="860"/>
        <w:gridCol w:w="110"/>
        <w:gridCol w:w="90"/>
        <w:gridCol w:w="140"/>
        <w:gridCol w:w="635"/>
        <w:gridCol w:w="90"/>
        <w:gridCol w:w="90"/>
        <w:gridCol w:w="140"/>
        <w:gridCol w:w="830"/>
        <w:gridCol w:w="110"/>
        <w:gridCol w:w="90"/>
        <w:gridCol w:w="160"/>
        <w:gridCol w:w="955"/>
        <w:gridCol w:w="110"/>
        <w:gridCol w:w="90"/>
        <w:gridCol w:w="140"/>
        <w:gridCol w:w="860"/>
        <w:gridCol w:w="135"/>
      </w:tblGrid>
      <w:tr>
        <w:trPr/>
        <w:tc>
          <w:tcPr>
            <w:tcW w:w="113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Class A </w:t>
              <w:br/>
              <w:t>Ordinary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B</w:t>
              <w:br/>
              <w:t>Ordinary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Subscription</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br/>
              <w:t>paid-in</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Statutory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Retained</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br/>
              <w:t>other</w:t>
              <w:br/>
              <w:t>comprehensive</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br/>
              <w:t>shareholders’</w:t>
            </w:r>
          </w:p>
        </w:tc>
        <w:tc>
          <w:tcPr>
            <w:tcW w:w="135" w:type="dxa"/>
            <w:tcBorders/>
            <w:vAlign w:val="center"/>
          </w:tcPr>
          <w:p>
            <w:pPr>
              <w:pStyle w:val="TableContents"/>
              <w:bidi w:val="0"/>
              <w:spacing w:before="0" w:after="283"/>
              <w:ind w:left="0" w:right="0" w:hanging="180"/>
              <w:jc w:val="center"/>
              <w:rPr/>
            </w:pPr>
            <w:r>
              <w:rPr/>
              <w:t> </w:t>
            </w:r>
          </w:p>
        </w:tc>
      </w:tr>
      <w:tr>
        <w:trPr/>
        <w:tc>
          <w:tcPr>
            <w:tcW w:w="1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receivable</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reserves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earnings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(loss)/income</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135" w:type="dxa"/>
            <w:tcBorders/>
            <w:vAlign w:val="center"/>
          </w:tcPr>
          <w:p>
            <w:pPr>
              <w:pStyle w:val="TableContents"/>
              <w:bidi w:val="0"/>
              <w:spacing w:before="0" w:after="283"/>
              <w:ind w:left="0" w:right="0" w:hanging="180"/>
              <w:jc w:val="center"/>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of March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4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(5,000</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1,236,773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813,235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9,786,946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(1,345,687</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10,491,267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b/>
              </w:rPr>
            </w:pPr>
            <w:r>
              <w:rPr>
                <w:b/>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b/>
              </w:rPr>
            </w:pPr>
            <w:r>
              <w:rPr>
                <w:b/>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(1,295,163</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b/>
              </w:rPr>
            </w:pPr>
            <w:r>
              <w:rPr>
                <w:b/>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(1,295,163</w:t>
            </w:r>
          </w:p>
        </w:tc>
        <w:tc>
          <w:tcPr>
            <w:tcW w:w="135" w:type="dxa"/>
            <w:tcBorders/>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injection by shareholder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ordinary shares upon Initial Public Offering (“IPO”) and over-allotment, net of issuance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158,125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3,619,022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b/>
              </w:rPr>
            </w:pPr>
            <w:r>
              <w:rPr>
                <w:b/>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3,619,813</w:t>
            </w:r>
          </w:p>
        </w:tc>
        <w:tc>
          <w:tcPr>
            <w:tcW w:w="13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(523,250</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(523,250</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13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of March 31, 2024</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658,125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54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3,291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4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4,855,795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3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813,235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8,491,783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5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(1,868,937</w:t>
            </w:r>
          </w:p>
        </w:tc>
        <w:tc>
          <w:tcPr>
            <w:tcW w:w="11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12,297,667</w:t>
            </w:r>
          </w:p>
        </w:tc>
        <w:tc>
          <w:tcPr>
            <w:tcW w:w="13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(1,410,465</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(1,410,465</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1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bottom w:val="single" w:sz="12" w:space="0" w:color="000000"/>
            </w:tcBorders>
            <w:tcMar>
              <w:bottom w:w="28" w:type="dxa"/>
            </w:tcMar>
            <w:vAlign w:val="center"/>
          </w:tcPr>
          <w:p>
            <w:pPr>
              <w:pStyle w:val="TableContents"/>
              <w:bidi w:val="0"/>
              <w:spacing w:before="0" w:after="283"/>
              <w:jc w:val="left"/>
              <w:rPr/>
            </w:pPr>
            <w:r>
              <w:rPr/>
              <w:t> </w:t>
            </w:r>
          </w:p>
        </w:tc>
        <w:tc>
          <w:tcPr>
            <w:tcW w:w="747"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(161,106</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(161,106</w:t>
            </w:r>
          </w:p>
        </w:tc>
        <w:tc>
          <w:tcPr>
            <w:tcW w:w="135" w:type="dxa"/>
            <w:tcBorders/>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of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658,125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5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3,291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4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4,855,795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813,235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7,081,318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(2,030,043</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10,726,096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(4,805,561</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(4,805,561</w:t>
            </w:r>
          </w:p>
        </w:tc>
        <w:tc>
          <w:tcPr>
            <w:tcW w:w="135" w:type="dxa"/>
            <w:tcBorders/>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ordinary shares, net of issuance cost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1,176,663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6,335,007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6,340,890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Cashless exercise of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1,578,732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(7,894</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b/>
              </w:rPr>
            </w:pPr>
            <w:r>
              <w:rPr>
                <w:b/>
              </w:rPr>
              <w:t>-</w:t>
            </w:r>
          </w:p>
        </w:tc>
        <w:tc>
          <w:tcPr>
            <w:tcW w:w="13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430,117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430,117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of March 31, 2026</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3,413,520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54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17,068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47"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11,182,908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3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813,235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2,275,757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5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(1,599,926</w:t>
            </w:r>
          </w:p>
        </w:tc>
        <w:tc>
          <w:tcPr>
            <w:tcW w:w="11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12,691,542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85"/>
        <w:gridCol w:w="9740"/>
      </w:tblGrid>
      <w:tr>
        <w:trPr/>
        <w:tc>
          <w:tcPr>
            <w:tcW w:w="185"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Retrospectively restated for effect of the share consolidation completed in January 2026 (see Note 14).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f_006"/>
      <w:bookmarkEnd w:id="42"/>
      <w:r>
        <w:rPr>
          <w:rFonts w:ascii="Times New Roman;Times;Serif" w:hAnsi="Times New Roman;Times;Serif"/>
          <w:b/>
          <w:i w:val="false"/>
          <w:caps w:val="false"/>
          <w:smallCaps w:val="false"/>
          <w:sz w:val="20"/>
        </w:rPr>
        <w:t>CCSC TECHNOLOGY INTERNATIONAL HOLDINGS LIMITED</w:t>
        <w:br/>
        <w:t>CONSOLIDATED STATEMENTS OF CASH FLOWS</w:t>
        <w:br/>
        <w:t>(Amount in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3"/>
        <w:gridCol w:w="90"/>
        <w:gridCol w:w="170"/>
        <w:gridCol w:w="1085"/>
        <w:gridCol w:w="125"/>
        <w:gridCol w:w="90"/>
        <w:gridCol w:w="170"/>
        <w:gridCol w:w="1085"/>
        <w:gridCol w:w="125"/>
        <w:gridCol w:w="90"/>
        <w:gridCol w:w="170"/>
        <w:gridCol w:w="1085"/>
        <w:gridCol w:w="157"/>
      </w:tblGrid>
      <w:tr>
        <w:trPr/>
        <w:tc>
          <w:tcPr>
            <w:tcW w:w="57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57" w:type="dxa"/>
            <w:tcBorders/>
            <w:vAlign w:val="center"/>
          </w:tcPr>
          <w:p>
            <w:pPr>
              <w:pStyle w:val="TableContents"/>
              <w:bidi w:val="0"/>
              <w:spacing w:before="0" w:after="283"/>
              <w:jc w:val="left"/>
              <w:rPr/>
            </w:pPr>
            <w:r>
              <w:rPr/>
              <w:t> </w:t>
            </w:r>
          </w:p>
        </w:tc>
      </w:tr>
      <w:tr>
        <w:trPr/>
        <w:tc>
          <w:tcPr>
            <w:tcW w:w="57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7" w:type="dxa"/>
            <w:tcBorders/>
            <w:vAlign w:val="center"/>
          </w:tcPr>
          <w:p>
            <w:pPr>
              <w:pStyle w:val="TableContents"/>
              <w:bidi w:val="0"/>
              <w:spacing w:before="0" w:after="283"/>
              <w:jc w:val="left"/>
              <w:rPr/>
            </w:pPr>
            <w:r>
              <w:rPr/>
              <w:t> </w:t>
            </w:r>
          </w:p>
        </w:tc>
      </w:tr>
      <w:tr>
        <w:trPr/>
        <w:tc>
          <w:tcPr>
            <w:tcW w:w="5763"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(4,805,561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(1,410,465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(1,295,163</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i/>
              </w:rPr>
            </w:pPr>
            <w:r>
              <w:rPr>
                <w:i/>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Inventory write-downs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68,783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128,241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188,268</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216,722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238,599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238,757</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Amortization of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588,969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519,426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509,086</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Loss from disposal of 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7,802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10,889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2,188</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Deferred tax expense/(benefit)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545,390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(270,502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(249,892</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pPr>
            <w:r>
              <w:rPr/>
              <w:t>Foreign currency exchange losses/(gains)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360,960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(56,479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(227,691</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i/>
              </w:rPr>
            </w:pPr>
            <w:r>
              <w:rPr>
                <w:i/>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(330,965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267,028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(500,747</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(543,130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130,289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(101,220</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(542,610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412,124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(704,610</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(63,336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257,086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(77,220</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870,609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(359,764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563,226</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Advance from customers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177,602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(66,537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22,060</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Taxes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7,096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(2,971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(340,992</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(535,246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(234,550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(64,258</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(540,332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(534,472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(490,319</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pPr>
            <w:r>
              <w:rPr/>
              <w:t>Financing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9,272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3,250</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24</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b/>
              </w:rPr>
            </w:pPr>
            <w:r>
              <w:rPr>
                <w:b/>
              </w:rPr>
              <w:t>Net cash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(4,507,975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(968,808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(2,528,503</w:t>
            </w:r>
          </w:p>
        </w:tc>
        <w:tc>
          <w:tcPr>
            <w:tcW w:w="157" w:type="dxa"/>
            <w:tcBorders/>
            <w:vAlign w:val="center"/>
          </w:tcPr>
          <w:p>
            <w:pPr>
              <w:pStyle w:val="TableContents"/>
              <w:bidi w:val="0"/>
              <w:spacing w:before="0" w:after="283"/>
              <w:ind w:left="0" w:right="0" w:hanging="180"/>
              <w:jc w:val="left"/>
              <w:rPr>
                <w:b/>
              </w:rPr>
            </w:pPr>
            <w:r>
              <w:rPr>
                <w:b/>
              </w:rPr>
              <w:t>)</w:t>
            </w:r>
          </w:p>
        </w:tc>
      </w:tr>
      <w:tr>
        <w:trPr/>
        <w:tc>
          <w:tcPr>
            <w:tcW w:w="576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Purchase of property, plant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(859,118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(327,801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(156,999</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pPr>
            <w:r>
              <w:rPr/>
              <w:t>Prepayment of equipment and mold model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(3,639,312</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pPr>
            <w:r>
              <w:rPr/>
              <w:t>Proceed from disposal of property, plant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Purchase of land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(519,895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Purchase of intangible asset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(568,864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(43,737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(29,476</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b/>
              </w:rPr>
            </w:pPr>
            <w:r>
              <w:rPr>
                <w:b/>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(1,423,864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(890,490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(3,825,787</w:t>
            </w:r>
          </w:p>
        </w:tc>
        <w:tc>
          <w:tcPr>
            <w:tcW w:w="157" w:type="dxa"/>
            <w:tcBorders/>
            <w:vAlign w:val="center"/>
          </w:tcPr>
          <w:p>
            <w:pPr>
              <w:pStyle w:val="TableContents"/>
              <w:bidi w:val="0"/>
              <w:spacing w:before="0" w:after="283"/>
              <w:ind w:left="0" w:right="0" w:hanging="180"/>
              <w:jc w:val="left"/>
              <w:rPr>
                <w:b/>
              </w:rPr>
            </w:pPr>
            <w:r>
              <w:rPr>
                <w:b/>
              </w:rPr>
              <w:t>)</w:t>
            </w:r>
          </w:p>
        </w:tc>
      </w:tr>
      <w:tr>
        <w:trPr/>
        <w:tc>
          <w:tcPr>
            <w:tcW w:w="576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b/>
              </w:rPr>
            </w:pPr>
            <w:r>
              <w:rPr>
                <w:b/>
              </w:rPr>
              <w:t>CASH FLOWS FORM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Repayments of long-term bank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(39,853</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pPr>
            <w:r>
              <w:rPr/>
              <w:t>Proceeds from issuance of ordinary shares, net of issuance cost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6,340,890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4,665,444</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Capital contribution by shareholder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5,000</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Payment made for principal portion of financing lease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(45,580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(49,345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(4,322</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b/>
              </w:rPr>
            </w:pPr>
            <w:r>
              <w:rPr>
                <w:b/>
              </w:rPr>
              <w:t>Net cash provided by/(used in)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6,295,310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(49,345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4,626,269</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Effect of exchange rate changes on cash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46,178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(131,648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(254,847</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Net change in cash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409,649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(2,040,291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(1,982,868</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pPr>
            <w:r>
              <w:rPr/>
              <w:t>Cash and restricted cash, beginning of the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3,694,456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5,734,747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7,717,615</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b/>
              </w:rPr>
            </w:pPr>
            <w:r>
              <w:rPr>
                <w:b/>
              </w:rPr>
              <w:t>Cash and restricted cash,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4,104,105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3,694,456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5,734,747</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b/>
              </w:rPr>
            </w:pPr>
            <w:r>
              <w:rPr>
                <w:b/>
              </w:rPr>
              <w:t>SUPPLEMENTAL DISCLOSURE OF CASH FLOW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Cash paid for income tax</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(1,740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(859,882</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pPr>
            <w:r>
              <w:rPr/>
              <w:t>Cash received from income tax refund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40,004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246,771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Cash paid for interest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(8,771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(228</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pPr>
            <w:r>
              <w:rPr/>
              <w:t>Cash paid for operating lease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(581,553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(571,159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(575,014</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5763" w:type="dxa"/>
            <w:tcBorders/>
            <w:vAlign w:val="center"/>
          </w:tcPr>
          <w:p>
            <w:pPr>
              <w:pStyle w:val="TableContents"/>
              <w:bidi w:val="0"/>
              <w:spacing w:before="0" w:after="283"/>
              <w:jc w:val="left"/>
              <w:rPr/>
            </w:pPr>
            <w:r>
              <w:rPr/>
              <w:t>Cash paid for finance lease</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(45,580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(49,345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(4,322</w:t>
            </w:r>
          </w:p>
        </w:tc>
        <w:tc>
          <w:tcPr>
            <w:tcW w:w="157" w:type="dxa"/>
            <w:tcBorders/>
            <w:vAlign w:val="center"/>
          </w:tcPr>
          <w:p>
            <w:pPr>
              <w:pStyle w:val="TableContents"/>
              <w:bidi w:val="0"/>
              <w:spacing w:before="0" w:after="283"/>
              <w:ind w:left="0" w:right="0" w:hanging="180"/>
              <w:jc w:val="left"/>
              <w:rPr/>
            </w:pPr>
            <w:r>
              <w:rPr/>
              <w:t>)</w:t>
            </w:r>
          </w:p>
        </w:tc>
      </w:tr>
      <w:tr>
        <w:trPr/>
        <w:tc>
          <w:tcPr>
            <w:tcW w:w="576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b/>
              </w:rPr>
            </w:pPr>
            <w:r>
              <w:rPr>
                <w:b/>
              </w:rPr>
              <w:t>Supplemental disclosure of non-cash information: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Right-of-use assets obtained in exchange for 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268,971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192,311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137,617</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Purchase of intangible assets included in accrued expenses and other liabilities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(5,069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(43,103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0"/>
              <w:jc w:val="right"/>
              <w:rPr/>
            </w:pPr>
            <w:r>
              <w:rPr/>
              <w:t>-</w:t>
            </w:r>
          </w:p>
        </w:tc>
        <w:tc>
          <w:tcPr>
            <w:tcW w:w="157" w:type="dxa"/>
            <w:tcBorders/>
            <w:vAlign w:val="center"/>
          </w:tcPr>
          <w:p>
            <w:pPr>
              <w:pStyle w:val="TableContents"/>
              <w:bidi w:val="0"/>
              <w:spacing w:before="0" w:after="283"/>
              <w:ind w:left="0" w:right="0" w:hanging="180"/>
              <w:jc w:val="left"/>
              <w:rPr/>
            </w:pPr>
            <w:r>
              <w:rPr/>
              <w:t> </w:t>
            </w:r>
          </w:p>
        </w:tc>
      </w:tr>
      <w:tr>
        <w:trPr/>
        <w:tc>
          <w:tcPr>
            <w:tcW w:w="5763" w:type="dxa"/>
            <w:tcBorders/>
            <w:shd w:fill="CCEEFF" w:val="clear"/>
            <w:vAlign w:val="center"/>
          </w:tcPr>
          <w:p>
            <w:pPr>
              <w:pStyle w:val="TableContents"/>
              <w:bidi w:val="0"/>
              <w:spacing w:before="0" w:after="283"/>
              <w:jc w:val="left"/>
              <w:rPr/>
            </w:pPr>
            <w:r>
              <w:rPr/>
              <w:t>Purchase of equipment and molds included in accrued expenses and other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(626,300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(11,418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5763" w:type="dxa"/>
            <w:tcBorders/>
            <w:vAlign w:val="center"/>
          </w:tcPr>
          <w:p>
            <w:pPr>
              <w:pStyle w:val="TableContents"/>
              <w:bidi w:val="0"/>
              <w:spacing w:before="0" w:after="283"/>
              <w:jc w:val="left"/>
              <w:rPr/>
            </w:pPr>
            <w:r>
              <w:rPr/>
              <w:t>Cashless exercise of warrants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7,894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0"/>
              <w:jc w:val="right"/>
              <w:rPr/>
            </w:pPr>
            <w:r>
              <w:rPr/>
              <w:t>-</w:t>
            </w:r>
          </w:p>
        </w:tc>
        <w:tc>
          <w:tcPr>
            <w:tcW w:w="15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reconciliation of cash and restricted cash reported within the statements of financial position that sum to the total of the same amounts shown in the consolidated statement of cash flows:</w:t>
      </w:r>
    </w:p>
    <w:p>
      <w:pPr>
        <w:pStyle w:val="TextBody"/>
        <w:bidi w:val="0"/>
        <w:spacing w:before="0" w:after="0"/>
        <w:ind w:left="0" w:right="0" w:hanging="0"/>
        <w:jc w:val="both"/>
        <w:rPr>
          <w:caps w:val="false"/>
          <w:smallCaps w:val="false"/>
        </w:rPr>
      </w:pPr>
      <w:r>
        <w:rPr>
          <w:caps w:val="false"/>
          <w:smallCaps w:val="false"/>
        </w:rPr>
        <w:t> </w:t>
      </w:r>
    </w:p>
    <w:tbl>
      <w:tblPr>
        <w:tblW w:w="9485" w:type="dxa"/>
        <w:jc w:val="left"/>
        <w:tblInd w:w="0" w:type="dxa"/>
        <w:tblLayout w:type="fixed"/>
        <w:tblCellMar>
          <w:top w:w="0" w:type="dxa"/>
          <w:left w:w="0" w:type="dxa"/>
          <w:bottom w:w="0" w:type="dxa"/>
          <w:right w:w="0" w:type="dxa"/>
        </w:tblCellMar>
      </w:tblPr>
      <w:tblGrid>
        <w:gridCol w:w="5360"/>
        <w:gridCol w:w="90"/>
        <w:gridCol w:w="170"/>
        <w:gridCol w:w="1010"/>
        <w:gridCol w:w="90"/>
        <w:gridCol w:w="90"/>
        <w:gridCol w:w="170"/>
        <w:gridCol w:w="1010"/>
        <w:gridCol w:w="90"/>
        <w:gridCol w:w="90"/>
        <w:gridCol w:w="170"/>
        <w:gridCol w:w="1010"/>
        <w:gridCol w:w="135"/>
      </w:tblGrid>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Cash, beginning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3,685,043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5,525,430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7,708,310</w:t>
            </w:r>
          </w:p>
        </w:tc>
        <w:tc>
          <w:tcPr>
            <w:tcW w:w="135"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Restricted cash, beginning of the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9,413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209,317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9,305</w:t>
            </w:r>
          </w:p>
        </w:tc>
        <w:tc>
          <w:tcPr>
            <w:tcW w:w="13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 cash and restricted cash, beginning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3,694,456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5,734,747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7,717,615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4730"/>
        <w:gridCol w:w="90"/>
        <w:gridCol w:w="170"/>
        <w:gridCol w:w="1010"/>
        <w:gridCol w:w="90"/>
        <w:gridCol w:w="90"/>
        <w:gridCol w:w="170"/>
        <w:gridCol w:w="1010"/>
        <w:gridCol w:w="90"/>
        <w:gridCol w:w="90"/>
        <w:gridCol w:w="170"/>
        <w:gridCol w:w="1010"/>
        <w:gridCol w:w="135"/>
      </w:tblGrid>
      <w:tr>
        <w:trPr/>
        <w:tc>
          <w:tcPr>
            <w:tcW w:w="4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Cash,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4,093,878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3,685,043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5,525,430</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Restricted cash, end of the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10,227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9,413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209,317</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cash and restricted cash,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4,104,105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3,694,456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5,734,747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3" w:name="f_007"/>
      <w:bookmarkStart w:id="44" w:name="f_007"/>
      <w:bookmarkEnd w:id="44"/>
    </w:p>
    <w:tbl>
      <w:tblPr>
        <w:tblW w:w="5868" w:type="dxa"/>
        <w:jc w:val="left"/>
        <w:tblInd w:w="0" w:type="dxa"/>
        <w:tblLayout w:type="fixed"/>
        <w:tblCellMar>
          <w:top w:w="0" w:type="dxa"/>
          <w:left w:w="0" w:type="dxa"/>
          <w:bottom w:w="0" w:type="dxa"/>
          <w:right w:w="0" w:type="dxa"/>
        </w:tblCellMar>
      </w:tblPr>
      <w:tblGrid>
        <w:gridCol w:w="68"/>
        <w:gridCol w:w="230"/>
        <w:gridCol w:w="557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1.</w:t>
            </w:r>
          </w:p>
        </w:tc>
        <w:tc>
          <w:tcPr>
            <w:tcW w:w="5570" w:type="dxa"/>
            <w:tcBorders/>
            <w:vAlign w:val="center"/>
          </w:tcPr>
          <w:p>
            <w:pPr>
              <w:pStyle w:val="TableContents"/>
              <w:bidi w:val="0"/>
              <w:spacing w:before="0" w:after="283"/>
              <w:jc w:val="both"/>
              <w:rPr>
                <w:b/>
              </w:rPr>
            </w:pPr>
            <w:r>
              <w:rPr>
                <w:b/>
              </w:rPr>
              <w:t>ORGANIZATION AND PRINCIPAL ACTIVITIES</w:t>
            </w:r>
          </w:p>
        </w:tc>
      </w:tr>
    </w:tbl>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5"/>
        <w:gridCol w:w="1440"/>
        <w:gridCol w:w="8460"/>
      </w:tblGrid>
      <w:tr>
        <w:trPr/>
        <w:tc>
          <w:tcPr>
            <w:tcW w:w="30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b/>
                <w:i/>
              </w:rPr>
            </w:pPr>
            <w:r>
              <w:rPr>
                <w:b/>
                <w:i/>
              </w:rPr>
              <w:t>(a)</w:t>
            </w:r>
          </w:p>
        </w:tc>
        <w:tc>
          <w:tcPr>
            <w:tcW w:w="8460" w:type="dxa"/>
            <w:tcBorders/>
            <w:vAlign w:val="center"/>
          </w:tcPr>
          <w:p>
            <w:pPr>
              <w:pStyle w:val="TableContents"/>
              <w:bidi w:val="0"/>
              <w:spacing w:before="0" w:after="283"/>
              <w:jc w:val="both"/>
              <w:rPr>
                <w:b/>
                <w:i/>
              </w:rPr>
            </w:pPr>
            <w:r>
              <w:rPr>
                <w:b/>
                <w:i/>
              </w:rPr>
              <w:t>Principal activities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Technology International Holdings Limited (“CCSC Cayman” or the “Company”), through its direct wholly-owned subsidiaries (collectively, the “Group”), is principally engaged in the manufacturing and sale of interconnect products, including connectors, cables and wire harnesses. The majority of the Group’s products are sold in Europe and Asia. The Group produces both original equipment manufacturer (“OEM”) and original design manufacture (“ODM”) interconnect products for manufacturing companies that produce end products, as well as for electronic manufacturing services (“EMS”) companies, who procure and assemble products on behalf of such companies.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Serbian subsidiary, CCSC Technology Doo Beograd (“CCSC Technology Serbia”) started the construction of new European supply chain management center in the Municipality of Merosina, Republic of Serbia, in order to strengthen the Group’s logistics and manufacturing infrastructure in Central 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have been listed on the Nasdaq Stock Exchange under the symbol of “CCTG”.</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1"/>
        <w:gridCol w:w="1842"/>
        <w:gridCol w:w="7972"/>
      </w:tblGrid>
      <w:tr>
        <w:trPr/>
        <w:tc>
          <w:tcPr>
            <w:tcW w:w="391"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b/>
                <w:i/>
              </w:rPr>
            </w:pPr>
            <w:r>
              <w:rPr>
                <w:b/>
                <w:i/>
              </w:rPr>
              <w:t>(b)</w:t>
            </w:r>
          </w:p>
        </w:tc>
        <w:tc>
          <w:tcPr>
            <w:tcW w:w="7972" w:type="dxa"/>
            <w:tcBorders/>
            <w:vAlign w:val="center"/>
          </w:tcPr>
          <w:p>
            <w:pPr>
              <w:pStyle w:val="TableContents"/>
              <w:bidi w:val="0"/>
              <w:spacing w:before="0" w:after="283"/>
              <w:jc w:val="both"/>
              <w:rPr>
                <w:b/>
                <w:i/>
              </w:rPr>
            </w:pPr>
            <w:r>
              <w:rPr>
                <w:b/>
                <w:i/>
              </w:rPr>
              <w:t>Organization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reorganization of the Group’s legal structure (“Reorganization”) was completed on March 17, 2022. The consolidated financial statements of the Group as of March 31, 2026 included the following entities: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96"/>
        <w:gridCol w:w="90"/>
        <w:gridCol w:w="98"/>
        <w:gridCol w:w="1754"/>
        <w:gridCol w:w="90"/>
        <w:gridCol w:w="90"/>
        <w:gridCol w:w="1376"/>
        <w:gridCol w:w="90"/>
        <w:gridCol w:w="133"/>
        <w:gridCol w:w="832"/>
        <w:gridCol w:w="90"/>
        <w:gridCol w:w="90"/>
        <w:gridCol w:w="3376"/>
      </w:tblGrid>
      <w:tr>
        <w:trPr/>
        <w:tc>
          <w:tcPr>
            <w:tcW w:w="2096" w:type="dxa"/>
            <w:tcBorders>
              <w:bottom w:val="single" w:sz="12" w:space="0" w:color="000000"/>
            </w:tcBorders>
            <w:vAlign w:val="center"/>
          </w:tcPr>
          <w:p>
            <w:pPr>
              <w:pStyle w:val="TableContents"/>
              <w:bidi w:val="0"/>
              <w:spacing w:before="0" w:after="283"/>
              <w:jc w:val="left"/>
              <w:rPr>
                <w:b/>
                <w:sz w:val="20"/>
              </w:rPr>
            </w:pPr>
            <w:r>
              <w:rPr>
                <w:b/>
                <w:sz w:val="20"/>
              </w:rPr>
              <w:t>Entity</w:t>
            </w:r>
          </w:p>
        </w:tc>
        <w:tc>
          <w:tcPr>
            <w:tcW w:w="90" w:type="dxa"/>
            <w:tcBorders/>
            <w:tcMar>
              <w:bottom w:w="0" w:type="dxa"/>
            </w:tcMar>
            <w:vAlign w:val="center"/>
          </w:tcPr>
          <w:p>
            <w:pPr>
              <w:pStyle w:val="TableContents"/>
              <w:bidi w:val="0"/>
              <w:spacing w:before="0" w:after="283"/>
              <w:jc w:val="left"/>
              <w:rPr/>
            </w:pPr>
            <w:r>
              <w:rPr/>
              <w:t> </w:t>
            </w:r>
          </w:p>
        </w:tc>
        <w:tc>
          <w:tcPr>
            <w:tcW w:w="1852" w:type="dxa"/>
            <w:gridSpan w:val="2"/>
            <w:tcBorders>
              <w:bottom w:val="single" w:sz="12" w:space="0" w:color="000000"/>
            </w:tcBorders>
            <w:vAlign w:val="center"/>
          </w:tcPr>
          <w:p>
            <w:pPr>
              <w:pStyle w:val="TableContents"/>
              <w:bidi w:val="0"/>
              <w:spacing w:before="0" w:after="283"/>
              <w:jc w:val="center"/>
              <w:rPr>
                <w:b/>
                <w:sz w:val="20"/>
              </w:rPr>
            </w:pPr>
            <w:r>
              <w:rPr>
                <w:b/>
                <w:sz w:val="20"/>
              </w:rPr>
              <w:t>Date of Incorporation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6" w:type="dxa"/>
            <w:tcBorders>
              <w:bottom w:val="single" w:sz="12" w:space="0" w:color="000000"/>
            </w:tcBorders>
            <w:vAlign w:val="center"/>
          </w:tcPr>
          <w:p>
            <w:pPr>
              <w:pStyle w:val="TableContents"/>
              <w:bidi w:val="0"/>
              <w:spacing w:before="0" w:after="283"/>
              <w:jc w:val="center"/>
              <w:rPr>
                <w:b/>
                <w:sz w:val="20"/>
              </w:rPr>
            </w:pPr>
            <w:r>
              <w:rPr>
                <w:b/>
                <w:sz w:val="20"/>
              </w:rPr>
              <w:t>Place of</w:t>
              <w:br/>
              <w:t>Incorporation</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sz w:val="20"/>
              </w:rPr>
            </w:pPr>
            <w:r>
              <w:rPr>
                <w:b/>
                <w:sz w:val="20"/>
              </w:rPr>
              <w:t>% of</w:t>
              <w:br/>
              <w:t>Ownership</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6" w:type="dxa"/>
            <w:tcBorders>
              <w:bottom w:val="single" w:sz="12" w:space="0" w:color="000000"/>
            </w:tcBorders>
            <w:vAlign w:val="center"/>
          </w:tcPr>
          <w:p>
            <w:pPr>
              <w:pStyle w:val="TableContents"/>
              <w:bidi w:val="0"/>
              <w:spacing w:before="0" w:after="283"/>
              <w:jc w:val="center"/>
              <w:rPr>
                <w:b/>
                <w:sz w:val="20"/>
              </w:rPr>
            </w:pPr>
            <w:r>
              <w:rPr>
                <w:b/>
                <w:sz w:val="20"/>
              </w:rPr>
              <w:t>Major business activities</w:t>
            </w:r>
          </w:p>
        </w:tc>
      </w:tr>
      <w:tr>
        <w:trPr/>
        <w:tc>
          <w:tcPr>
            <w:tcW w:w="2096" w:type="dxa"/>
            <w:tcBorders/>
            <w:shd w:fill="CCEEFF" w:val="clear"/>
            <w:tcMar>
              <w:bottom w:w="0" w:type="dxa"/>
            </w:tcMar>
            <w:vAlign w:val="center"/>
          </w:tcPr>
          <w:p>
            <w:pPr>
              <w:pStyle w:val="TableContents"/>
              <w:bidi w:val="0"/>
              <w:spacing w:before="0" w:after="283"/>
              <w:jc w:val="left"/>
              <w:rPr>
                <w:sz w:val="20"/>
              </w:rPr>
            </w:pPr>
            <w:r>
              <w:rPr>
                <w:sz w:val="20"/>
              </w:rPr>
              <w:t>CCSC Cayman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754" w:type="dxa"/>
            <w:tcBorders/>
            <w:shd w:fill="CCEEFF" w:val="clear"/>
            <w:tcMar>
              <w:bottom w:w="0" w:type="dxa"/>
            </w:tcMar>
            <w:vAlign w:val="center"/>
          </w:tcPr>
          <w:p>
            <w:pPr>
              <w:pStyle w:val="TableContents"/>
              <w:bidi w:val="0"/>
              <w:spacing w:before="0" w:after="283"/>
              <w:jc w:val="center"/>
              <w:rPr>
                <w:sz w:val="20"/>
              </w:rPr>
            </w:pPr>
            <w:r>
              <w:rPr>
                <w:sz w:val="20"/>
              </w:rPr>
              <w:t>October 19,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center"/>
              <w:rPr>
                <w:sz w:val="20"/>
              </w:rPr>
            </w:pPr>
            <w:r>
              <w:rPr>
                <w:sz w:val="20"/>
              </w:rPr>
              <w:t>Cayman Islands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832" w:type="dxa"/>
            <w:tcBorders/>
            <w:shd w:fill="CCEEFF" w:val="clear"/>
            <w:tcMar>
              <w:bottom w:w="0" w:type="dxa"/>
            </w:tcMar>
            <w:vAlign w:val="center"/>
          </w:tcPr>
          <w:p>
            <w:pPr>
              <w:pStyle w:val="TableContents"/>
              <w:bidi w:val="0"/>
              <w:spacing w:before="0" w:after="283"/>
              <w:jc w:val="center"/>
              <w:rPr>
                <w:sz w:val="20"/>
              </w:rPr>
            </w:pPr>
            <w:r>
              <w:rPr>
                <w:sz w:val="20"/>
              </w:rPr>
              <w:t>Parent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6" w:type="dxa"/>
            <w:tcBorders/>
            <w:shd w:fill="CCEEFF" w:val="clear"/>
            <w:tcMar>
              <w:bottom w:w="0" w:type="dxa"/>
            </w:tcMar>
            <w:vAlign w:val="center"/>
          </w:tcPr>
          <w:p>
            <w:pPr>
              <w:pStyle w:val="TableContents"/>
              <w:bidi w:val="0"/>
              <w:spacing w:before="0" w:after="283"/>
              <w:jc w:val="center"/>
              <w:rPr>
                <w:sz w:val="20"/>
              </w:rPr>
            </w:pPr>
            <w:r>
              <w:rPr>
                <w:sz w:val="20"/>
              </w:rPr>
              <w:t>Investment holding</w:t>
            </w:r>
          </w:p>
        </w:tc>
      </w:tr>
      <w:tr>
        <w:trPr/>
        <w:tc>
          <w:tcPr>
            <w:tcW w:w="2096" w:type="dxa"/>
            <w:tcBorders/>
            <w:tcMar>
              <w:bottom w:w="0" w:type="dxa"/>
            </w:tcMar>
            <w:vAlign w:val="center"/>
          </w:tcPr>
          <w:p>
            <w:pPr>
              <w:pStyle w:val="TableContents"/>
              <w:bidi w:val="0"/>
              <w:spacing w:before="0" w:after="283"/>
              <w:jc w:val="left"/>
              <w:rPr>
                <w:sz w:val="20"/>
              </w:rPr>
            </w:pPr>
            <w:r>
              <w:rPr>
                <w:sz w:val="20"/>
              </w:rPr>
              <w:t>CCSC Group</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1754" w:type="dxa"/>
            <w:tcBorders/>
            <w:tcMar>
              <w:bottom w:w="0" w:type="dxa"/>
            </w:tcMar>
            <w:vAlign w:val="center"/>
          </w:tcPr>
          <w:p>
            <w:pPr>
              <w:pStyle w:val="TableContents"/>
              <w:bidi w:val="0"/>
              <w:spacing w:before="0" w:after="283"/>
              <w:jc w:val="center"/>
              <w:rPr>
                <w:sz w:val="20"/>
              </w:rPr>
            </w:pPr>
            <w:r>
              <w:rPr>
                <w:sz w:val="20"/>
              </w:rPr>
              <w:t>October 19, 2021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6" w:type="dxa"/>
            <w:tcBorders/>
            <w:tcMar>
              <w:bottom w:w="0" w:type="dxa"/>
            </w:tcMar>
            <w:vAlign w:val="center"/>
          </w:tcPr>
          <w:p>
            <w:pPr>
              <w:pStyle w:val="TableContents"/>
              <w:bidi w:val="0"/>
              <w:spacing w:before="0" w:after="283"/>
              <w:jc w:val="center"/>
              <w:rPr>
                <w:sz w:val="20"/>
              </w:rPr>
            </w:pPr>
            <w:r>
              <w:rPr>
                <w:sz w:val="20"/>
              </w:rPr>
              <w:t>BVI</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832" w:type="dxa"/>
            <w:tcBorders/>
            <w:tcMar>
              <w:bottom w:w="0" w:type="dxa"/>
            </w:tcMar>
            <w:vAlign w:val="center"/>
          </w:tcPr>
          <w:p>
            <w:pPr>
              <w:pStyle w:val="TableContents"/>
              <w:bidi w:val="0"/>
              <w:spacing w:before="0" w:after="283"/>
              <w:jc w:val="center"/>
              <w:rPr>
                <w:sz w:val="20"/>
              </w:rPr>
            </w:pPr>
            <w:r>
              <w:rPr>
                <w:sz w:val="20"/>
              </w:rPr>
              <w:t>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6" w:type="dxa"/>
            <w:tcBorders/>
            <w:tcMar>
              <w:bottom w:w="0" w:type="dxa"/>
            </w:tcMar>
            <w:vAlign w:val="center"/>
          </w:tcPr>
          <w:p>
            <w:pPr>
              <w:pStyle w:val="TableContents"/>
              <w:bidi w:val="0"/>
              <w:spacing w:before="0" w:after="283"/>
              <w:jc w:val="center"/>
              <w:rPr>
                <w:sz w:val="20"/>
              </w:rPr>
            </w:pPr>
            <w:r>
              <w:rPr>
                <w:sz w:val="20"/>
              </w:rPr>
              <w:t>Investment holding</w:t>
            </w:r>
          </w:p>
        </w:tc>
      </w:tr>
      <w:tr>
        <w:trPr/>
        <w:tc>
          <w:tcPr>
            <w:tcW w:w="2096" w:type="dxa"/>
            <w:tcBorders/>
            <w:shd w:fill="CCEEFF" w:val="clear"/>
            <w:tcMar>
              <w:bottom w:w="0" w:type="dxa"/>
            </w:tcMar>
            <w:vAlign w:val="center"/>
          </w:tcPr>
          <w:p>
            <w:pPr>
              <w:pStyle w:val="TableContents"/>
              <w:bidi w:val="0"/>
              <w:spacing w:before="0" w:after="283"/>
              <w:jc w:val="left"/>
              <w:rPr>
                <w:sz w:val="20"/>
              </w:rPr>
            </w:pPr>
            <w:r>
              <w:rPr>
                <w:sz w:val="20"/>
              </w:rPr>
              <w:t>CCSC Technology Group</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754" w:type="dxa"/>
            <w:tcBorders/>
            <w:shd w:fill="CCEEFF" w:val="clear"/>
            <w:tcMar>
              <w:bottom w:w="0" w:type="dxa"/>
            </w:tcMar>
            <w:vAlign w:val="center"/>
          </w:tcPr>
          <w:p>
            <w:pPr>
              <w:pStyle w:val="TableContents"/>
              <w:bidi w:val="0"/>
              <w:spacing w:before="0" w:after="283"/>
              <w:jc w:val="center"/>
              <w:rPr>
                <w:sz w:val="20"/>
              </w:rPr>
            </w:pPr>
            <w:r>
              <w:rPr>
                <w:sz w:val="20"/>
              </w:rPr>
              <w:t>December 31, 1992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center"/>
              <w:rPr>
                <w:sz w:val="20"/>
              </w:rPr>
            </w:pPr>
            <w:r>
              <w:rPr>
                <w:sz w:val="20"/>
              </w:rPr>
              <w:t>Hong Kong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832"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6" w:type="dxa"/>
            <w:tcBorders/>
            <w:shd w:fill="CCEEFF" w:val="clear"/>
            <w:tcMar>
              <w:bottom w:w="0" w:type="dxa"/>
            </w:tcMar>
            <w:vAlign w:val="center"/>
          </w:tcPr>
          <w:p>
            <w:pPr>
              <w:pStyle w:val="TableContents"/>
              <w:bidi w:val="0"/>
              <w:spacing w:before="0" w:after="283"/>
              <w:jc w:val="center"/>
              <w:rPr>
                <w:sz w:val="20"/>
              </w:rPr>
            </w:pPr>
            <w:r>
              <w:rPr>
                <w:sz w:val="20"/>
              </w:rPr>
              <w:t>Sale of interconnect products</w:t>
            </w:r>
          </w:p>
        </w:tc>
      </w:tr>
      <w:tr>
        <w:trPr/>
        <w:tc>
          <w:tcPr>
            <w:tcW w:w="2096" w:type="dxa"/>
            <w:tcBorders/>
            <w:tcMar>
              <w:bottom w:w="0" w:type="dxa"/>
            </w:tcMar>
            <w:vAlign w:val="center"/>
          </w:tcPr>
          <w:p>
            <w:pPr>
              <w:pStyle w:val="TableContents"/>
              <w:bidi w:val="0"/>
              <w:spacing w:before="0" w:after="283"/>
              <w:jc w:val="left"/>
              <w:rPr>
                <w:sz w:val="20"/>
              </w:rPr>
            </w:pPr>
            <w:r>
              <w:rPr>
                <w:sz w:val="20"/>
              </w:rPr>
              <w:t>CCSC Interconnect HK</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1754" w:type="dxa"/>
            <w:tcBorders/>
            <w:tcMar>
              <w:bottom w:w="0" w:type="dxa"/>
            </w:tcMar>
            <w:vAlign w:val="center"/>
          </w:tcPr>
          <w:p>
            <w:pPr>
              <w:pStyle w:val="TableContents"/>
              <w:bidi w:val="0"/>
              <w:spacing w:before="0" w:after="283"/>
              <w:jc w:val="center"/>
              <w:rPr>
                <w:sz w:val="20"/>
              </w:rPr>
            </w:pPr>
            <w:r>
              <w:rPr>
                <w:sz w:val="20"/>
              </w:rPr>
              <w:t>July 3, 2007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6" w:type="dxa"/>
            <w:tcBorders/>
            <w:tcMar>
              <w:bottom w:w="0" w:type="dxa"/>
            </w:tcMar>
            <w:vAlign w:val="center"/>
          </w:tcPr>
          <w:p>
            <w:pPr>
              <w:pStyle w:val="TableContents"/>
              <w:bidi w:val="0"/>
              <w:spacing w:before="0" w:after="283"/>
              <w:jc w:val="center"/>
              <w:rPr>
                <w:sz w:val="20"/>
              </w:rPr>
            </w:pPr>
            <w:r>
              <w:rPr>
                <w:sz w:val="20"/>
              </w:rPr>
              <w:t>Hong Kong</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832" w:type="dxa"/>
            <w:tcBorders/>
            <w:tcMar>
              <w:bottom w:w="0" w:type="dxa"/>
            </w:tcMar>
            <w:vAlign w:val="center"/>
          </w:tcPr>
          <w:p>
            <w:pPr>
              <w:pStyle w:val="TableContents"/>
              <w:bidi w:val="0"/>
              <w:spacing w:before="0" w:after="283"/>
              <w:jc w:val="center"/>
              <w:rPr>
                <w:sz w:val="20"/>
              </w:rPr>
            </w:pPr>
            <w:r>
              <w:rPr>
                <w:sz w:val="20"/>
              </w:rPr>
              <w:t>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6" w:type="dxa"/>
            <w:tcBorders/>
            <w:tcMar>
              <w:bottom w:w="0" w:type="dxa"/>
            </w:tcMar>
            <w:vAlign w:val="center"/>
          </w:tcPr>
          <w:p>
            <w:pPr>
              <w:pStyle w:val="TableContents"/>
              <w:bidi w:val="0"/>
              <w:spacing w:before="0" w:after="283"/>
              <w:jc w:val="center"/>
              <w:rPr>
                <w:sz w:val="20"/>
              </w:rPr>
            </w:pPr>
            <w:r>
              <w:rPr>
                <w:sz w:val="20"/>
              </w:rPr>
              <w:t>Sale of interconnect products</w:t>
            </w:r>
          </w:p>
        </w:tc>
      </w:tr>
      <w:tr>
        <w:trPr/>
        <w:tc>
          <w:tcPr>
            <w:tcW w:w="2096" w:type="dxa"/>
            <w:tcBorders/>
            <w:shd w:fill="CCEEFF" w:val="clear"/>
            <w:tcMar>
              <w:bottom w:w="0" w:type="dxa"/>
            </w:tcMar>
            <w:vAlign w:val="center"/>
          </w:tcPr>
          <w:p>
            <w:pPr>
              <w:pStyle w:val="TableContents"/>
              <w:bidi w:val="0"/>
              <w:spacing w:before="0" w:after="283"/>
              <w:jc w:val="left"/>
              <w:rPr>
                <w:sz w:val="20"/>
              </w:rPr>
            </w:pPr>
            <w:r>
              <w:rPr>
                <w:sz w:val="20"/>
              </w:rPr>
              <w:t>CCSC Interconnect DG</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754" w:type="dxa"/>
            <w:tcBorders/>
            <w:shd w:fill="CCEEFF" w:val="clear"/>
            <w:tcMar>
              <w:bottom w:w="0" w:type="dxa"/>
            </w:tcMar>
            <w:vAlign w:val="center"/>
          </w:tcPr>
          <w:p>
            <w:pPr>
              <w:pStyle w:val="TableContents"/>
              <w:bidi w:val="0"/>
              <w:spacing w:before="0" w:after="283"/>
              <w:jc w:val="center"/>
              <w:rPr>
                <w:sz w:val="20"/>
              </w:rPr>
            </w:pPr>
            <w:r>
              <w:rPr>
                <w:sz w:val="20"/>
              </w:rPr>
              <w:t>June 28, 1993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center"/>
              <w:rPr>
                <w:sz w:val="20"/>
              </w:rPr>
            </w:pPr>
            <w:r>
              <w:rPr>
                <w:sz w:val="20"/>
              </w:rPr>
              <w:t>Mainland China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832"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6" w:type="dxa"/>
            <w:tcBorders/>
            <w:shd w:fill="CCEEFF" w:val="clear"/>
            <w:tcMar>
              <w:bottom w:w="0" w:type="dxa"/>
            </w:tcMar>
            <w:vAlign w:val="center"/>
          </w:tcPr>
          <w:p>
            <w:pPr>
              <w:pStyle w:val="TableContents"/>
              <w:bidi w:val="0"/>
              <w:spacing w:before="0" w:after="283"/>
              <w:jc w:val="center"/>
              <w:rPr>
                <w:sz w:val="20"/>
              </w:rPr>
            </w:pPr>
            <w:r>
              <w:rPr>
                <w:sz w:val="20"/>
              </w:rPr>
              <w:t>Manufacturing of interconnect products</w:t>
            </w:r>
          </w:p>
        </w:tc>
      </w:tr>
      <w:tr>
        <w:trPr/>
        <w:tc>
          <w:tcPr>
            <w:tcW w:w="2096" w:type="dxa"/>
            <w:tcBorders/>
            <w:tcMar>
              <w:bottom w:w="0" w:type="dxa"/>
            </w:tcMar>
            <w:vAlign w:val="center"/>
          </w:tcPr>
          <w:p>
            <w:pPr>
              <w:pStyle w:val="TableContents"/>
              <w:bidi w:val="0"/>
              <w:spacing w:before="0" w:after="283"/>
              <w:jc w:val="left"/>
              <w:rPr>
                <w:sz w:val="20"/>
              </w:rPr>
            </w:pPr>
            <w:r>
              <w:rPr>
                <w:sz w:val="20"/>
              </w:rPr>
              <w:t>CCSC Interconnect NL</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1754" w:type="dxa"/>
            <w:tcBorders/>
            <w:tcMar>
              <w:bottom w:w="0" w:type="dxa"/>
            </w:tcMar>
            <w:vAlign w:val="center"/>
          </w:tcPr>
          <w:p>
            <w:pPr>
              <w:pStyle w:val="TableContents"/>
              <w:bidi w:val="0"/>
              <w:spacing w:before="0" w:after="283"/>
              <w:jc w:val="center"/>
              <w:rPr>
                <w:sz w:val="20"/>
              </w:rPr>
            </w:pPr>
            <w:r>
              <w:rPr>
                <w:sz w:val="20"/>
              </w:rPr>
              <w:t>March 14, 2016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6" w:type="dxa"/>
            <w:tcBorders/>
            <w:tcMar>
              <w:bottom w:w="0" w:type="dxa"/>
            </w:tcMar>
            <w:vAlign w:val="center"/>
          </w:tcPr>
          <w:p>
            <w:pPr>
              <w:pStyle w:val="TableContents"/>
              <w:bidi w:val="0"/>
              <w:spacing w:before="0" w:after="283"/>
              <w:jc w:val="center"/>
              <w:rPr>
                <w:sz w:val="20"/>
              </w:rPr>
            </w:pPr>
            <w:r>
              <w:rPr>
                <w:sz w:val="20"/>
              </w:rPr>
              <w:t>Netherlands</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832" w:type="dxa"/>
            <w:tcBorders/>
            <w:tcMar>
              <w:bottom w:w="0" w:type="dxa"/>
            </w:tcMar>
            <w:vAlign w:val="center"/>
          </w:tcPr>
          <w:p>
            <w:pPr>
              <w:pStyle w:val="TableContents"/>
              <w:bidi w:val="0"/>
              <w:spacing w:before="0" w:after="283"/>
              <w:jc w:val="center"/>
              <w:rPr>
                <w:sz w:val="20"/>
              </w:rPr>
            </w:pPr>
            <w:r>
              <w:rPr>
                <w:sz w:val="20"/>
              </w:rPr>
              <w:t>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6" w:type="dxa"/>
            <w:tcBorders/>
            <w:tcMar>
              <w:bottom w:w="0" w:type="dxa"/>
            </w:tcMar>
            <w:vAlign w:val="center"/>
          </w:tcPr>
          <w:p>
            <w:pPr>
              <w:pStyle w:val="TableContents"/>
              <w:bidi w:val="0"/>
              <w:spacing w:before="0" w:after="283"/>
              <w:jc w:val="center"/>
              <w:rPr>
                <w:sz w:val="20"/>
              </w:rPr>
            </w:pPr>
            <w:r>
              <w:rPr>
                <w:sz w:val="20"/>
              </w:rPr>
              <w:t>Purchase of components</w:t>
            </w:r>
          </w:p>
        </w:tc>
      </w:tr>
      <w:tr>
        <w:trPr/>
        <w:tc>
          <w:tcPr>
            <w:tcW w:w="2096" w:type="dxa"/>
            <w:tcBorders/>
            <w:shd w:fill="CCEEFF" w:val="clear"/>
            <w:tcMar>
              <w:bottom w:w="0" w:type="dxa"/>
            </w:tcMar>
            <w:vAlign w:val="center"/>
          </w:tcPr>
          <w:p>
            <w:pPr>
              <w:pStyle w:val="TableContents"/>
              <w:bidi w:val="0"/>
              <w:spacing w:before="0" w:after="283"/>
              <w:jc w:val="left"/>
              <w:rPr>
                <w:sz w:val="20"/>
              </w:rPr>
            </w:pPr>
            <w:r>
              <w:rPr>
                <w:sz w:val="20"/>
              </w:rPr>
              <w:t>CCSC Technology Serbia</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98" w:type="dxa"/>
            <w:tcBorders/>
            <w:shd w:fill="CCEEFF" w:val="clear"/>
            <w:tcMar>
              <w:bottom w:w="0" w:type="dxa"/>
            </w:tcMar>
            <w:vAlign w:val="center"/>
          </w:tcPr>
          <w:p>
            <w:pPr>
              <w:pStyle w:val="TableContents"/>
              <w:bidi w:val="0"/>
              <w:spacing w:before="0" w:after="283"/>
              <w:jc w:val="center"/>
              <w:rPr/>
            </w:pPr>
            <w:r>
              <w:rPr/>
              <w:t> </w:t>
            </w:r>
          </w:p>
        </w:tc>
        <w:tc>
          <w:tcPr>
            <w:tcW w:w="1754" w:type="dxa"/>
            <w:tcBorders/>
            <w:shd w:fill="CCEEFF" w:val="clear"/>
            <w:tcMar>
              <w:bottom w:w="0" w:type="dxa"/>
            </w:tcMar>
            <w:vAlign w:val="center"/>
          </w:tcPr>
          <w:p>
            <w:pPr>
              <w:pStyle w:val="TableContents"/>
              <w:bidi w:val="0"/>
              <w:spacing w:before="0" w:after="283"/>
              <w:jc w:val="center"/>
              <w:rPr>
                <w:sz w:val="20"/>
              </w:rPr>
            </w:pPr>
            <w:r>
              <w:rPr>
                <w:sz w:val="20"/>
              </w:rPr>
              <w:t>February 27, 2024</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376" w:type="dxa"/>
            <w:tcBorders/>
            <w:shd w:fill="CCEEFF" w:val="clear"/>
            <w:tcMar>
              <w:bottom w:w="0" w:type="dxa"/>
            </w:tcMar>
            <w:vAlign w:val="center"/>
          </w:tcPr>
          <w:p>
            <w:pPr>
              <w:pStyle w:val="TableContents"/>
              <w:bidi w:val="0"/>
              <w:spacing w:before="0" w:after="283"/>
              <w:jc w:val="center"/>
              <w:rPr>
                <w:sz w:val="20"/>
              </w:rPr>
            </w:pPr>
            <w:r>
              <w:rPr>
                <w:sz w:val="20"/>
              </w:rPr>
              <w:t>Serbia</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33" w:type="dxa"/>
            <w:tcBorders/>
            <w:shd w:fill="CCEEFF" w:val="clear"/>
            <w:tcMar>
              <w:bottom w:w="0" w:type="dxa"/>
            </w:tcMar>
            <w:vAlign w:val="center"/>
          </w:tcPr>
          <w:p>
            <w:pPr>
              <w:pStyle w:val="TableContents"/>
              <w:bidi w:val="0"/>
              <w:spacing w:before="0" w:after="283"/>
              <w:jc w:val="center"/>
              <w:rPr/>
            </w:pPr>
            <w:r>
              <w:rPr/>
              <w:t> </w:t>
            </w:r>
          </w:p>
        </w:tc>
        <w:tc>
          <w:tcPr>
            <w:tcW w:w="832"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376" w:type="dxa"/>
            <w:tcBorders/>
            <w:shd w:fill="CCEEFF" w:val="clear"/>
            <w:tcMar>
              <w:bottom w:w="0" w:type="dxa"/>
            </w:tcMar>
            <w:vAlign w:val="center"/>
          </w:tcPr>
          <w:p>
            <w:pPr>
              <w:pStyle w:val="TableContents"/>
              <w:bidi w:val="0"/>
              <w:spacing w:before="0" w:after="283"/>
              <w:jc w:val="center"/>
              <w:rPr>
                <w:sz w:val="20"/>
              </w:rPr>
            </w:pPr>
            <w:r>
              <w:rPr>
                <w:sz w:val="20"/>
              </w:rPr>
              <w:t>Manufacture of other electrical equipment</w:t>
            </w:r>
          </w:p>
        </w:tc>
      </w:tr>
    </w:tbl>
    <w:p>
      <w:pPr>
        <w:pStyle w:val="TextBody"/>
        <w:bidi w:val="0"/>
        <w:spacing w:before="0" w:after="0"/>
        <w:ind w:left="480" w:right="0" w:hanging="48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68"/>
        <w:gridCol w:w="230"/>
        <w:gridCol w:w="14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1415" w:type="dxa"/>
            <w:tcBorders/>
            <w:vAlign w:val="center"/>
          </w:tcPr>
          <w:p>
            <w:pPr>
              <w:pStyle w:val="TableContents"/>
              <w:bidi w:val="0"/>
              <w:spacing w:before="0" w:after="283"/>
              <w:jc w:val="both"/>
              <w:rPr>
                <w:b/>
              </w:rPr>
            </w:pPr>
            <w:r>
              <w:rPr>
                <w:b/>
              </w:rPr>
              <w:t>LIQUIDITY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incurred net losses of US$4,805,561, US$1,410,465 and US$1,295,163 for the years ended March 31, 2026, 2025 and 2024, respectively. Net cash used in operating activities were US$4,507,975, US$968,808 and US$2,528,503 for the years ended March 31, 2026, 2025 and 2024, respectively. Nevertheless, the Group believes that its current liquidity position is adequate to support the ongoing operations. As of March 31, 2026, the Group had a working capital of US$5,691,913, compared to working capital of US$5,179,766 as of March 31, 2025. The Group also had cash and restricted cash of US$4,104,105 as of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Company closed a follow-on public offering with net proceeds of approximately $6.34 million, which supplemented the Group’s operating capital and strengthened its overall liquidity position. The Group believes that its current cash and anticipated cash flows from operations will be sufficient to meet its anticipated working capital requirements and capital expenditures for at least the next 12 months following the issuance date of the consolidated financial statements for the year ended March 31, 2026.</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349"/>
        <w:gridCol w:w="9754"/>
      </w:tblGrid>
      <w:tr>
        <w:trPr/>
        <w:tc>
          <w:tcPr>
            <w:tcW w:w="10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b/>
              </w:rPr>
            </w:pPr>
            <w:r>
              <w:rPr>
                <w:b/>
              </w:rPr>
              <w:t>3.</w:t>
            </w:r>
          </w:p>
        </w:tc>
        <w:tc>
          <w:tcPr>
            <w:tcW w:w="9754"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1294"/>
        <w:gridCol w:w="8636"/>
      </w:tblGrid>
      <w:tr>
        <w:trPr/>
        <w:tc>
          <w:tcPr>
            <w:tcW w:w="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b/>
                <w:i/>
              </w:rPr>
            </w:pPr>
            <w:r>
              <w:rPr>
                <w:b/>
                <w:i/>
              </w:rPr>
              <w:t>(a)</w:t>
            </w:r>
          </w:p>
        </w:tc>
        <w:tc>
          <w:tcPr>
            <w:tcW w:w="8636" w:type="dxa"/>
            <w:tcBorders/>
            <w:vAlign w:val="center"/>
          </w:tcPr>
          <w:p>
            <w:pPr>
              <w:pStyle w:val="TableContents"/>
              <w:bidi w:val="0"/>
              <w:spacing w:before="0" w:after="283"/>
              <w:jc w:val="both"/>
              <w:rPr>
                <w:b/>
                <w:i/>
              </w:rPr>
            </w:pPr>
            <w:r>
              <w:rPr>
                <w:b/>
                <w:i/>
              </w:rPr>
              <w:t>Basis of presentation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prepared in accordance with accounting principles generally accepted in the United States of America (“U.S. GAAP”) and pursuant to the rules and regulations of the U.S. Securities and Exchange Commission (the “SEC”).</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5"/>
        <w:gridCol w:w="1061"/>
        <w:gridCol w:w="8919"/>
      </w:tblGrid>
      <w:tr>
        <w:trPr/>
        <w:tc>
          <w:tcPr>
            <w:tcW w:w="22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b/>
                <w:i/>
              </w:rPr>
            </w:pPr>
            <w:r>
              <w:rPr>
                <w:b/>
                <w:i/>
              </w:rPr>
              <w:t>(b)</w:t>
            </w:r>
          </w:p>
        </w:tc>
        <w:tc>
          <w:tcPr>
            <w:tcW w:w="8919" w:type="dxa"/>
            <w:tcBorders/>
            <w:vAlign w:val="center"/>
          </w:tcPr>
          <w:p>
            <w:pPr>
              <w:pStyle w:val="TableContents"/>
              <w:bidi w:val="0"/>
              <w:spacing w:before="0" w:after="283"/>
              <w:jc w:val="both"/>
              <w:rPr>
                <w:b/>
                <w:i/>
              </w:rPr>
            </w:pPr>
            <w:r>
              <w:rPr>
                <w:b/>
                <w:i/>
              </w:rPr>
              <w:t>Principles of consolidation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financial statements of the Company and its wholly owned subsidiaries. All inter-company balances and transactions are eliminated upon consolidation.</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2"/>
        <w:gridCol w:w="1534"/>
        <w:gridCol w:w="8329"/>
      </w:tblGrid>
      <w:tr>
        <w:trPr/>
        <w:tc>
          <w:tcPr>
            <w:tcW w:w="34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b/>
                <w:i/>
              </w:rPr>
            </w:pPr>
            <w:r>
              <w:rPr>
                <w:b/>
                <w:i/>
              </w:rPr>
              <w:t>(c)</w:t>
            </w:r>
          </w:p>
        </w:tc>
        <w:tc>
          <w:tcPr>
            <w:tcW w:w="8329" w:type="dxa"/>
            <w:tcBorders/>
            <w:vAlign w:val="center"/>
          </w:tcPr>
          <w:p>
            <w:pPr>
              <w:pStyle w:val="TableContents"/>
              <w:bidi w:val="0"/>
              <w:spacing w:before="0" w:after="283"/>
              <w:jc w:val="both"/>
              <w:rPr>
                <w:b/>
                <w:i/>
              </w:rPr>
            </w:pPr>
            <w:r>
              <w:rPr>
                <w:b/>
                <w:i/>
              </w:rPr>
              <w:t>Use of estimates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accordance with U.S. GAAP requires management to make estimates and assumptions that affect the reported amounts of assets and liabilities at the date of the consolidated financial statements and reported amounts of revenues and expenses during the reporting periods. These estimates are based on information as of the date of the consolidated financial statements. Significant accounting estimates include, but are not limited to allowance for credit losses, inventory write-down, useful lives of property, plant and equipment and intangible assets, impairment assessment of long-lived assets, and realization of deferred income taxes. Changes in facts and circumstances may result in revised estimates. Actual results could differ from those estimates.</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584"/>
        <w:gridCol w:w="9498"/>
      </w:tblGrid>
      <w:tr>
        <w:trPr/>
        <w:tc>
          <w:tcPr>
            <w:tcW w:w="12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b/>
                <w:i/>
              </w:rPr>
            </w:pPr>
            <w:r>
              <w:rPr>
                <w:b/>
                <w:i/>
              </w:rPr>
              <w:t>(d)</w:t>
            </w:r>
          </w:p>
        </w:tc>
        <w:tc>
          <w:tcPr>
            <w:tcW w:w="9498" w:type="dxa"/>
            <w:tcBorders/>
            <w:vAlign w:val="center"/>
          </w:tcPr>
          <w:p>
            <w:pPr>
              <w:pStyle w:val="TableContents"/>
              <w:bidi w:val="0"/>
              <w:spacing w:before="0" w:after="283"/>
              <w:jc w:val="both"/>
              <w:rPr>
                <w:b/>
                <w:i/>
              </w:rPr>
            </w:pPr>
            <w:r>
              <w:rPr>
                <w:b/>
                <w:i/>
              </w:rPr>
              <w:t>Foreign currencies and foreign currency translation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and reporting currency of the Group is the United States Dollar (“US$” or “$”). The Group’s direct wholly-owned operating subsidiaries in Hong Kong, mainland China, the Netherlands and the Serbia, use their respective currencies, Hong Kong dollar (“HK$”), Renminbi (“RMB”), Euro (“EUR”) and Serbian Dinar (“RSD”), as their functional currencies.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Group’s direct wholly-owned operating subsidiaries were translated into the U.S. dollar using the exchange rate as of the balance sheet date for assets and liabilities and average exchange rate for the year for income and expense items. Assets and liabilities denominated in functional currencies at the balance sheet date were translated at the applicable rates of exchange in effect at that date. The equity denominated in the functional currency was translated at the historical rate of exchange at the time of the capital contribution. Because cash flows were translated based on the average exchange rate, amounts related to assets and liabilities reported on the consolidated statements of cash flows may not necessarily agree with changes in the corresponding balances on the consolidated balance sheets. Translation adjustments arising from the use of different exchange rates from period to period are included as a separate component of accumulated other comprehensive loss included in consolidated statements of changes in shareholders’ equity. Gains and losses from foreign currency transactions are included in the Group’s consolidated statements of operations and comprehensive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outlines the currency exchange rates that were used in preparing the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7"/>
        <w:gridCol w:w="90"/>
        <w:gridCol w:w="2033"/>
        <w:gridCol w:w="90"/>
        <w:gridCol w:w="2033"/>
        <w:gridCol w:w="90"/>
        <w:gridCol w:w="2033"/>
        <w:gridCol w:w="90"/>
        <w:gridCol w:w="2079"/>
      </w:tblGrid>
      <w:tr>
        <w:trPr/>
        <w:tc>
          <w:tcPr>
            <w:tcW w:w="166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56"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90" w:type="dxa"/>
            <w:tcBorders/>
            <w:vAlign w:val="center"/>
          </w:tcPr>
          <w:p>
            <w:pPr>
              <w:pStyle w:val="TableContents"/>
              <w:bidi w:val="0"/>
              <w:spacing w:before="0" w:after="283"/>
              <w:jc w:val="left"/>
              <w:rPr/>
            </w:pPr>
            <w:r>
              <w:rPr/>
              <w:t> </w:t>
            </w:r>
          </w:p>
        </w:tc>
        <w:tc>
          <w:tcPr>
            <w:tcW w:w="4202"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March 31, 2025</w:t>
            </w:r>
          </w:p>
        </w:tc>
      </w:tr>
      <w:tr>
        <w:trPr/>
        <w:tc>
          <w:tcPr>
            <w:tcW w:w="166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33" w:type="dxa"/>
            <w:tcBorders>
              <w:bottom w:val="single" w:sz="12" w:space="0" w:color="000000"/>
            </w:tcBorders>
            <w:tcMar>
              <w:bottom w:w="28" w:type="dxa"/>
            </w:tcMar>
            <w:vAlign w:val="center"/>
          </w:tcPr>
          <w:p>
            <w:pPr>
              <w:pStyle w:val="TableContents"/>
              <w:bidi w:val="0"/>
              <w:spacing w:before="0" w:after="283"/>
              <w:jc w:val="center"/>
              <w:rPr>
                <w:b/>
              </w:rPr>
            </w:pPr>
            <w:r>
              <w:rPr>
                <w:b/>
              </w:rPr>
              <w:t>Year-end spot rate</w:t>
            </w:r>
          </w:p>
        </w:tc>
        <w:tc>
          <w:tcPr>
            <w:tcW w:w="90" w:type="dxa"/>
            <w:tcBorders/>
            <w:vAlign w:val="center"/>
          </w:tcPr>
          <w:p>
            <w:pPr>
              <w:pStyle w:val="TableContents"/>
              <w:bidi w:val="0"/>
              <w:spacing w:before="0" w:after="283"/>
              <w:jc w:val="left"/>
              <w:rPr/>
            </w:pPr>
            <w:r>
              <w:rPr/>
              <w:t> </w:t>
            </w:r>
          </w:p>
        </w:tc>
        <w:tc>
          <w:tcPr>
            <w:tcW w:w="2033" w:type="dxa"/>
            <w:tcBorders>
              <w:bottom w:val="single" w:sz="12" w:space="0" w:color="000000"/>
            </w:tcBorders>
            <w:tcMar>
              <w:bottom w:w="28" w:type="dxa"/>
            </w:tcMar>
            <w:vAlign w:val="center"/>
          </w:tcPr>
          <w:p>
            <w:pPr>
              <w:pStyle w:val="TableContents"/>
              <w:bidi w:val="0"/>
              <w:spacing w:before="0" w:after="283"/>
              <w:jc w:val="center"/>
              <w:rPr>
                <w:b/>
              </w:rPr>
            </w:pPr>
            <w:r>
              <w:rPr>
                <w:b/>
              </w:rPr>
              <w:t>Average rate</w:t>
            </w:r>
          </w:p>
        </w:tc>
        <w:tc>
          <w:tcPr>
            <w:tcW w:w="90" w:type="dxa"/>
            <w:tcBorders/>
            <w:vAlign w:val="center"/>
          </w:tcPr>
          <w:p>
            <w:pPr>
              <w:pStyle w:val="TableContents"/>
              <w:bidi w:val="0"/>
              <w:spacing w:before="0" w:after="283"/>
              <w:jc w:val="left"/>
              <w:rPr/>
            </w:pPr>
            <w:r>
              <w:rPr/>
              <w:t> </w:t>
            </w:r>
          </w:p>
        </w:tc>
        <w:tc>
          <w:tcPr>
            <w:tcW w:w="2033" w:type="dxa"/>
            <w:tcBorders>
              <w:bottom w:val="single" w:sz="12" w:space="0" w:color="000000"/>
            </w:tcBorders>
            <w:tcMar>
              <w:bottom w:w="28" w:type="dxa"/>
            </w:tcMar>
            <w:vAlign w:val="center"/>
          </w:tcPr>
          <w:p>
            <w:pPr>
              <w:pStyle w:val="TableContents"/>
              <w:bidi w:val="0"/>
              <w:spacing w:before="0" w:after="283"/>
              <w:jc w:val="center"/>
              <w:rPr>
                <w:b/>
              </w:rPr>
            </w:pPr>
            <w:r>
              <w:rPr>
                <w:b/>
              </w:rPr>
              <w:t>Year-end spot rate</w:t>
            </w:r>
          </w:p>
        </w:tc>
        <w:tc>
          <w:tcPr>
            <w:tcW w:w="90" w:type="dxa"/>
            <w:tcBorders/>
            <w:vAlign w:val="center"/>
          </w:tcPr>
          <w:p>
            <w:pPr>
              <w:pStyle w:val="TableContents"/>
              <w:bidi w:val="0"/>
              <w:spacing w:before="0" w:after="283"/>
              <w:jc w:val="left"/>
              <w:rPr/>
            </w:pPr>
            <w:r>
              <w:rPr/>
              <w:t> </w:t>
            </w:r>
          </w:p>
        </w:tc>
        <w:tc>
          <w:tcPr>
            <w:tcW w:w="2079" w:type="dxa"/>
            <w:tcBorders>
              <w:bottom w:val="single" w:sz="12" w:space="0" w:color="000000"/>
            </w:tcBorders>
            <w:tcMar>
              <w:bottom w:w="28" w:type="dxa"/>
            </w:tcMar>
            <w:vAlign w:val="center"/>
          </w:tcPr>
          <w:p>
            <w:pPr>
              <w:pStyle w:val="TableContents"/>
              <w:bidi w:val="0"/>
              <w:spacing w:before="0" w:after="283"/>
              <w:jc w:val="center"/>
              <w:rPr>
                <w:b/>
              </w:rPr>
            </w:pPr>
            <w:r>
              <w:rPr>
                <w:b/>
              </w:rPr>
              <w:t>Average rate</w:t>
            </w:r>
          </w:p>
        </w:tc>
      </w:tr>
      <w:tr>
        <w:trPr/>
        <w:tc>
          <w:tcPr>
            <w:tcW w:w="1667" w:type="dxa"/>
            <w:tcBorders/>
            <w:shd w:fill="CCEEFF" w:val="clear"/>
            <w:vAlign w:val="center"/>
          </w:tcPr>
          <w:p>
            <w:pPr>
              <w:pStyle w:val="TableContents"/>
              <w:bidi w:val="0"/>
              <w:spacing w:before="0" w:after="283"/>
              <w:jc w:val="left"/>
              <w:rPr/>
            </w:pPr>
            <w:r>
              <w:rPr/>
              <w:t>US$ against RMB</w:t>
            </w:r>
          </w:p>
        </w:tc>
        <w:tc>
          <w:tcPr>
            <w:tcW w:w="90" w:type="dxa"/>
            <w:tcBorders/>
            <w:shd w:fill="CCEEFF" w:val="clear"/>
            <w:vAlign w:val="center"/>
          </w:tcPr>
          <w:p>
            <w:pPr>
              <w:pStyle w:val="TableContents"/>
              <w:bidi w:val="0"/>
              <w:spacing w:before="0" w:after="283"/>
              <w:jc w:val="left"/>
              <w:rPr/>
            </w:pPr>
            <w:r>
              <w:rPr/>
              <w:t> </w:t>
            </w:r>
          </w:p>
        </w:tc>
        <w:tc>
          <w:tcPr>
            <w:tcW w:w="2033" w:type="dxa"/>
            <w:tcBorders/>
            <w:shd w:fill="CCEEFF" w:val="clear"/>
            <w:vAlign w:val="center"/>
          </w:tcPr>
          <w:p>
            <w:pPr>
              <w:pStyle w:val="TableContents"/>
              <w:bidi w:val="0"/>
              <w:spacing w:before="0" w:after="283"/>
              <w:jc w:val="both"/>
              <w:rPr/>
            </w:pPr>
            <w:r>
              <w:rPr/>
              <w:t>US$1=RMB6.8980</w:t>
            </w:r>
          </w:p>
        </w:tc>
        <w:tc>
          <w:tcPr>
            <w:tcW w:w="90" w:type="dxa"/>
            <w:tcBorders/>
            <w:shd w:fill="CCEEFF" w:val="clear"/>
            <w:vAlign w:val="center"/>
          </w:tcPr>
          <w:p>
            <w:pPr>
              <w:pStyle w:val="TableContents"/>
              <w:bidi w:val="0"/>
              <w:spacing w:before="0" w:after="283"/>
              <w:jc w:val="left"/>
              <w:rPr/>
            </w:pPr>
            <w:r>
              <w:rPr/>
              <w:t> </w:t>
            </w:r>
          </w:p>
        </w:tc>
        <w:tc>
          <w:tcPr>
            <w:tcW w:w="2033" w:type="dxa"/>
            <w:tcBorders/>
            <w:shd w:fill="CCEEFF" w:val="clear"/>
            <w:vAlign w:val="center"/>
          </w:tcPr>
          <w:p>
            <w:pPr>
              <w:pStyle w:val="TableContents"/>
              <w:bidi w:val="0"/>
              <w:spacing w:before="0" w:after="283"/>
              <w:jc w:val="both"/>
              <w:rPr/>
            </w:pPr>
            <w:r>
              <w:rPr/>
              <w:t>US$1=RMB7.1019</w:t>
            </w:r>
          </w:p>
        </w:tc>
        <w:tc>
          <w:tcPr>
            <w:tcW w:w="90" w:type="dxa"/>
            <w:tcBorders/>
            <w:shd w:fill="CCEEFF" w:val="clear"/>
            <w:vAlign w:val="center"/>
          </w:tcPr>
          <w:p>
            <w:pPr>
              <w:pStyle w:val="TableContents"/>
              <w:bidi w:val="0"/>
              <w:spacing w:before="0" w:after="283"/>
              <w:jc w:val="left"/>
              <w:rPr/>
            </w:pPr>
            <w:r>
              <w:rPr/>
              <w:t> </w:t>
            </w:r>
          </w:p>
        </w:tc>
        <w:tc>
          <w:tcPr>
            <w:tcW w:w="2033" w:type="dxa"/>
            <w:tcBorders/>
            <w:shd w:fill="CCEEFF" w:val="clear"/>
            <w:vAlign w:val="center"/>
          </w:tcPr>
          <w:p>
            <w:pPr>
              <w:pStyle w:val="TableContents"/>
              <w:bidi w:val="0"/>
              <w:spacing w:before="0" w:after="283"/>
              <w:jc w:val="both"/>
              <w:rPr/>
            </w:pPr>
            <w:r>
              <w:rPr/>
              <w:t>US$1=RMB7.2163</w:t>
            </w:r>
          </w:p>
        </w:tc>
        <w:tc>
          <w:tcPr>
            <w:tcW w:w="90" w:type="dxa"/>
            <w:tcBorders/>
            <w:shd w:fill="CCEEFF" w:val="clear"/>
            <w:vAlign w:val="center"/>
          </w:tcPr>
          <w:p>
            <w:pPr>
              <w:pStyle w:val="TableContents"/>
              <w:bidi w:val="0"/>
              <w:spacing w:before="0" w:after="283"/>
              <w:jc w:val="left"/>
              <w:rPr/>
            </w:pPr>
            <w:r>
              <w:rPr/>
              <w:t> </w:t>
            </w:r>
          </w:p>
        </w:tc>
        <w:tc>
          <w:tcPr>
            <w:tcW w:w="2079" w:type="dxa"/>
            <w:tcBorders/>
            <w:shd w:fill="CCEEFF" w:val="clear"/>
            <w:vAlign w:val="center"/>
          </w:tcPr>
          <w:p>
            <w:pPr>
              <w:pStyle w:val="TableContents"/>
              <w:bidi w:val="0"/>
              <w:spacing w:before="0" w:after="283"/>
              <w:jc w:val="both"/>
              <w:rPr/>
            </w:pPr>
            <w:r>
              <w:rPr/>
              <w:t>US$1=RMB7.2567</w:t>
            </w:r>
          </w:p>
        </w:tc>
      </w:tr>
      <w:tr>
        <w:trPr/>
        <w:tc>
          <w:tcPr>
            <w:tcW w:w="1667" w:type="dxa"/>
            <w:tcBorders/>
            <w:vAlign w:val="center"/>
          </w:tcPr>
          <w:p>
            <w:pPr>
              <w:pStyle w:val="TableContents"/>
              <w:bidi w:val="0"/>
              <w:spacing w:before="0" w:after="283"/>
              <w:jc w:val="left"/>
              <w:rPr/>
            </w:pPr>
            <w:r>
              <w:rPr/>
              <w:t>US$ against EUR</w:t>
            </w:r>
          </w:p>
        </w:tc>
        <w:tc>
          <w:tcPr>
            <w:tcW w:w="90"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both"/>
              <w:rPr/>
            </w:pPr>
            <w:r>
              <w:rPr/>
              <w:t>US$1=EUR0.8682</w:t>
            </w:r>
          </w:p>
        </w:tc>
        <w:tc>
          <w:tcPr>
            <w:tcW w:w="90"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both"/>
              <w:rPr/>
            </w:pPr>
            <w:r>
              <w:rPr/>
              <w:t>US$1=EUR0.86270</w:t>
            </w:r>
          </w:p>
        </w:tc>
        <w:tc>
          <w:tcPr>
            <w:tcW w:w="90"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both"/>
              <w:rPr/>
            </w:pPr>
            <w:r>
              <w:rPr/>
              <w:t>US$1=EUR0.9310</w:t>
            </w:r>
          </w:p>
        </w:tc>
        <w:tc>
          <w:tcPr>
            <w:tcW w:w="9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both"/>
              <w:rPr/>
            </w:pPr>
            <w:r>
              <w:rPr/>
              <w:t>US$1=EUR0.9263</w:t>
            </w:r>
          </w:p>
        </w:tc>
      </w:tr>
      <w:tr>
        <w:trPr/>
        <w:tc>
          <w:tcPr>
            <w:tcW w:w="1667" w:type="dxa"/>
            <w:tcBorders/>
            <w:shd w:fill="CCEEFF" w:val="clear"/>
            <w:vAlign w:val="center"/>
          </w:tcPr>
          <w:p>
            <w:pPr>
              <w:pStyle w:val="TableContents"/>
              <w:bidi w:val="0"/>
              <w:spacing w:before="0" w:after="283"/>
              <w:jc w:val="left"/>
              <w:rPr/>
            </w:pPr>
            <w:r>
              <w:rPr/>
              <w:t>US$ against HK$</w:t>
            </w:r>
          </w:p>
        </w:tc>
        <w:tc>
          <w:tcPr>
            <w:tcW w:w="90" w:type="dxa"/>
            <w:tcBorders/>
            <w:shd w:fill="CCEEFF" w:val="clear"/>
            <w:vAlign w:val="center"/>
          </w:tcPr>
          <w:p>
            <w:pPr>
              <w:pStyle w:val="TableContents"/>
              <w:bidi w:val="0"/>
              <w:spacing w:before="0" w:after="283"/>
              <w:jc w:val="left"/>
              <w:rPr/>
            </w:pPr>
            <w:r>
              <w:rPr/>
              <w:t> </w:t>
            </w:r>
          </w:p>
        </w:tc>
        <w:tc>
          <w:tcPr>
            <w:tcW w:w="2033" w:type="dxa"/>
            <w:tcBorders/>
            <w:shd w:fill="CCEEFF" w:val="clear"/>
            <w:vAlign w:val="center"/>
          </w:tcPr>
          <w:p>
            <w:pPr>
              <w:pStyle w:val="TableContents"/>
              <w:bidi w:val="0"/>
              <w:spacing w:before="0" w:after="283"/>
              <w:jc w:val="both"/>
              <w:rPr/>
            </w:pPr>
            <w:r>
              <w:rPr/>
              <w:t>US$1=HK$7.8400</w:t>
            </w:r>
          </w:p>
        </w:tc>
        <w:tc>
          <w:tcPr>
            <w:tcW w:w="90" w:type="dxa"/>
            <w:tcBorders/>
            <w:shd w:fill="CCEEFF" w:val="clear"/>
            <w:vAlign w:val="center"/>
          </w:tcPr>
          <w:p>
            <w:pPr>
              <w:pStyle w:val="TableContents"/>
              <w:bidi w:val="0"/>
              <w:spacing w:before="0" w:after="283"/>
              <w:jc w:val="left"/>
              <w:rPr/>
            </w:pPr>
            <w:r>
              <w:rPr/>
              <w:t> </w:t>
            </w:r>
          </w:p>
        </w:tc>
        <w:tc>
          <w:tcPr>
            <w:tcW w:w="2033" w:type="dxa"/>
            <w:tcBorders/>
            <w:shd w:fill="CCEEFF" w:val="clear"/>
            <w:vAlign w:val="center"/>
          </w:tcPr>
          <w:p>
            <w:pPr>
              <w:pStyle w:val="TableContents"/>
              <w:bidi w:val="0"/>
              <w:spacing w:before="0" w:after="283"/>
              <w:jc w:val="both"/>
              <w:rPr/>
            </w:pPr>
            <w:r>
              <w:rPr/>
              <w:t>US$1=HK$7.8038</w:t>
            </w:r>
          </w:p>
        </w:tc>
        <w:tc>
          <w:tcPr>
            <w:tcW w:w="90" w:type="dxa"/>
            <w:tcBorders/>
            <w:shd w:fill="CCEEFF" w:val="clear"/>
            <w:vAlign w:val="center"/>
          </w:tcPr>
          <w:p>
            <w:pPr>
              <w:pStyle w:val="TableContents"/>
              <w:bidi w:val="0"/>
              <w:spacing w:before="0" w:after="283"/>
              <w:jc w:val="left"/>
              <w:rPr/>
            </w:pPr>
            <w:r>
              <w:rPr/>
              <w:t> </w:t>
            </w:r>
          </w:p>
        </w:tc>
        <w:tc>
          <w:tcPr>
            <w:tcW w:w="2033" w:type="dxa"/>
            <w:tcBorders/>
            <w:shd w:fill="CCEEFF" w:val="clear"/>
            <w:vAlign w:val="center"/>
          </w:tcPr>
          <w:p>
            <w:pPr>
              <w:pStyle w:val="TableContents"/>
              <w:bidi w:val="0"/>
              <w:spacing w:before="0" w:after="283"/>
              <w:jc w:val="both"/>
              <w:rPr/>
            </w:pPr>
            <w:r>
              <w:rPr/>
              <w:t>US$1=HK$7.7930</w:t>
            </w:r>
          </w:p>
        </w:tc>
        <w:tc>
          <w:tcPr>
            <w:tcW w:w="90" w:type="dxa"/>
            <w:tcBorders/>
            <w:shd w:fill="CCEEFF" w:val="clear"/>
            <w:vAlign w:val="center"/>
          </w:tcPr>
          <w:p>
            <w:pPr>
              <w:pStyle w:val="TableContents"/>
              <w:bidi w:val="0"/>
              <w:spacing w:before="0" w:after="283"/>
              <w:jc w:val="left"/>
              <w:rPr/>
            </w:pPr>
            <w:r>
              <w:rPr/>
              <w:t> </w:t>
            </w:r>
          </w:p>
        </w:tc>
        <w:tc>
          <w:tcPr>
            <w:tcW w:w="2079" w:type="dxa"/>
            <w:tcBorders/>
            <w:shd w:fill="CCEEFF" w:val="clear"/>
            <w:vAlign w:val="center"/>
          </w:tcPr>
          <w:p>
            <w:pPr>
              <w:pStyle w:val="TableContents"/>
              <w:bidi w:val="0"/>
              <w:spacing w:before="0" w:after="283"/>
              <w:jc w:val="both"/>
              <w:rPr/>
            </w:pPr>
            <w:r>
              <w:rPr/>
              <w:t>US$1=HK$7.7799</w:t>
            </w:r>
          </w:p>
        </w:tc>
      </w:tr>
      <w:tr>
        <w:trPr/>
        <w:tc>
          <w:tcPr>
            <w:tcW w:w="1667" w:type="dxa"/>
            <w:tcBorders/>
            <w:vAlign w:val="center"/>
          </w:tcPr>
          <w:p>
            <w:pPr>
              <w:pStyle w:val="TableContents"/>
              <w:bidi w:val="0"/>
              <w:spacing w:before="0" w:after="283"/>
              <w:jc w:val="left"/>
              <w:rPr/>
            </w:pPr>
            <w:r>
              <w:rPr/>
              <w:t>US$ against RSD</w:t>
            </w:r>
          </w:p>
        </w:tc>
        <w:tc>
          <w:tcPr>
            <w:tcW w:w="90"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both"/>
              <w:rPr/>
            </w:pPr>
            <w:r>
              <w:rPr/>
              <w:t>US$1=RSD101.6550</w:t>
            </w:r>
          </w:p>
        </w:tc>
        <w:tc>
          <w:tcPr>
            <w:tcW w:w="90"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both"/>
              <w:rPr/>
            </w:pPr>
            <w:r>
              <w:rPr/>
              <w:t>US$1=RSD101.1714</w:t>
            </w:r>
          </w:p>
        </w:tc>
        <w:tc>
          <w:tcPr>
            <w:tcW w:w="90"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center"/>
              <w:rPr/>
            </w:pPr>
            <w:r>
              <w:rPr/>
              <w:t>US$1=RSD108.1800</w:t>
            </w:r>
          </w:p>
        </w:tc>
        <w:tc>
          <w:tcPr>
            <w:tcW w:w="9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both"/>
              <w:rPr/>
            </w:pPr>
            <w:r>
              <w:rPr/>
              <w:t>US$1=RSD108.9620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9"/>
        <w:gridCol w:w="3182"/>
        <w:gridCol w:w="6314"/>
      </w:tblGrid>
      <w:tr>
        <w:trPr/>
        <w:tc>
          <w:tcPr>
            <w:tcW w:w="709"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b/>
                <w:i/>
              </w:rPr>
            </w:pPr>
            <w:r>
              <w:rPr>
                <w:b/>
                <w:i/>
              </w:rPr>
              <w:t>(e)</w:t>
            </w:r>
          </w:p>
        </w:tc>
        <w:tc>
          <w:tcPr>
            <w:tcW w:w="6314" w:type="dxa"/>
            <w:tcBorders/>
            <w:vAlign w:val="center"/>
          </w:tcPr>
          <w:p>
            <w:pPr>
              <w:pStyle w:val="TableContents"/>
              <w:bidi w:val="0"/>
              <w:spacing w:before="0" w:after="283"/>
              <w:jc w:val="both"/>
              <w:rPr>
                <w:b/>
                <w:i/>
              </w:rPr>
            </w:pPr>
            <w:r>
              <w:rPr>
                <w:b/>
                <w:i/>
              </w:rPr>
              <w:t>Cash</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consists of cash on hand and cash in bank. The Group maintains cash with various financial institutions primarily in HK, mainland China, the Netherlands and the Serbia. The Group has not experienced any losses in bank accounts.</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2"/>
        <w:gridCol w:w="1426"/>
        <w:gridCol w:w="8427"/>
      </w:tblGrid>
      <w:tr>
        <w:trPr/>
        <w:tc>
          <w:tcPr>
            <w:tcW w:w="35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b/>
                <w:i/>
              </w:rPr>
            </w:pPr>
            <w:r>
              <w:rPr>
                <w:b/>
                <w:i/>
              </w:rPr>
              <w:t>(f)</w:t>
            </w:r>
          </w:p>
        </w:tc>
        <w:tc>
          <w:tcPr>
            <w:tcW w:w="8427" w:type="dxa"/>
            <w:tcBorders/>
            <w:vAlign w:val="center"/>
          </w:tcPr>
          <w:p>
            <w:pPr>
              <w:pStyle w:val="TableContents"/>
              <w:bidi w:val="0"/>
              <w:spacing w:before="0" w:after="283"/>
              <w:jc w:val="both"/>
              <w:rPr>
                <w:b/>
                <w:i/>
              </w:rPr>
            </w:pPr>
            <w:r>
              <w:rPr>
                <w:b/>
                <w:i/>
              </w:rPr>
              <w:t>Restricted Cash</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consists of rental guarantee deposits. The rental guarantee deposit for CCSC Interconnect NL’s office located in the Netherlands cannot be withdrawn without certain approval or notice. As of March 31, 2026 and 2025, the Group had restricted cash of $10,227 and $9,413, respectively.</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5"/>
        <w:gridCol w:w="1342"/>
        <w:gridCol w:w="8578"/>
      </w:tblGrid>
      <w:tr>
        <w:trPr/>
        <w:tc>
          <w:tcPr>
            <w:tcW w:w="28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b/>
                <w:i/>
              </w:rPr>
            </w:pPr>
            <w:r>
              <w:rPr>
                <w:b/>
                <w:i/>
              </w:rPr>
              <w:t>(g)</w:t>
            </w:r>
          </w:p>
        </w:tc>
        <w:tc>
          <w:tcPr>
            <w:tcW w:w="8578" w:type="dxa"/>
            <w:tcBorders/>
            <w:vAlign w:val="center"/>
          </w:tcPr>
          <w:p>
            <w:pPr>
              <w:pStyle w:val="TableContents"/>
              <w:bidi w:val="0"/>
              <w:spacing w:before="0" w:after="283"/>
              <w:jc w:val="both"/>
              <w:rPr>
                <w:b/>
                <w:i/>
              </w:rPr>
            </w:pPr>
            <w:r>
              <w:rPr>
                <w:b/>
                <w:i/>
              </w:rPr>
              <w:t>Accounts receivable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represents the amounts that the Group has an unconditional right to consideration, which are stated at the original amount less the expected credit losses of accounts receivable. The Group reviews the accounts receivable on a periodic basis and makes general and specific allowances when there is doubt as to the collectability of individual balances. The Group usually determines the adequacy of reserves for credit losses based on individual account analysis and historical collection trends. The Group considers many factors in assessing the expected credit losses model, such as size, the age of the accounts, the customer’s payment history, credit-worthiness and other specific circumstances related to the accounts, along with reasonable and supportable forecasts as a basis to develop the Group’s expected loss estimates. The provision is recorded against accounts receivables balances, with a corresponding charge recorded in the consolidated statements of operations and comprehensive loss. Delinquent account balances are written off against the credit losses of accounts receivable after management has determined that the likelihood of collection is remote. As of March 31, 2026 and 2025, there were no credit losses recorded as the Group considers all of the outstanding accounts receivable fully collectible.</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5"/>
        <w:gridCol w:w="2146"/>
        <w:gridCol w:w="7624"/>
      </w:tblGrid>
      <w:tr>
        <w:trPr/>
        <w:tc>
          <w:tcPr>
            <w:tcW w:w="435"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b/>
                <w:i/>
              </w:rPr>
            </w:pPr>
            <w:r>
              <w:rPr>
                <w:b/>
                <w:i/>
              </w:rPr>
              <w:t>(h)</w:t>
            </w:r>
          </w:p>
        </w:tc>
        <w:tc>
          <w:tcPr>
            <w:tcW w:w="7624" w:type="dxa"/>
            <w:tcBorders/>
            <w:vAlign w:val="center"/>
          </w:tcPr>
          <w:p>
            <w:pPr>
              <w:pStyle w:val="TableContents"/>
              <w:bidi w:val="0"/>
              <w:spacing w:before="0" w:after="283"/>
              <w:jc w:val="both"/>
              <w:rPr>
                <w:b/>
                <w:i/>
              </w:rPr>
            </w:pPr>
            <w:r>
              <w:rPr>
                <w:b/>
                <w:i/>
              </w:rPr>
              <w:t>Inventories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primarily consisting of raw materials, work-in-process, finished goods and inventory in transit, are stated at the lower cost or net realizable value. Net realizable value is the estimated selling price in the normal course of business less any costs to complete and sell products. Cost of inventory is determined using the weighted average cost method. The Group reviews its inventories periodically to determine if any reserves are necessary for potential shrinkage and obsolete or unusable inventory. The amounts of the inventory write-down to net realizable value, recognized in cost of sales, were $68,783, $128,241 and $188,268 for the years ended March 31, 2026, 2025 and 2024, respectively.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combines the disclosure of inventory original gross balances and inventory write-down in Note 5 during the fiscal year 2026 as for any write-down of inventory establishes a new cost basis that is not subject to subsequent reversal, even if the inventory value recovers in future periods due to changes in market conditions.</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696"/>
        <w:gridCol w:w="9328"/>
      </w:tblGrid>
      <w:tr>
        <w:trPr/>
        <w:tc>
          <w:tcPr>
            <w:tcW w:w="18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b/>
                <w:i/>
              </w:rPr>
            </w:pPr>
            <w:r>
              <w:rPr>
                <w:b/>
                <w:i/>
              </w:rPr>
              <w:t>(i)</w:t>
            </w:r>
          </w:p>
        </w:tc>
        <w:tc>
          <w:tcPr>
            <w:tcW w:w="9328" w:type="dxa"/>
            <w:tcBorders/>
            <w:vAlign w:val="center"/>
          </w:tcPr>
          <w:p>
            <w:pPr>
              <w:pStyle w:val="TableContents"/>
              <w:bidi w:val="0"/>
              <w:spacing w:before="0" w:after="283"/>
              <w:jc w:val="both"/>
              <w:rPr>
                <w:b/>
                <w:i/>
              </w:rPr>
            </w:pPr>
            <w:r>
              <w:rPr>
                <w:b/>
                <w:i/>
              </w:rPr>
              <w:t>Property, plant and equipment, net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are stated at cost less accumulated depreciation and impairment, if any, and are depreciated on a straight-line basis over the estimated useful lives of the assets as follows. Land located in Serbia is not depreciated since it has an indefinite useful life.</w:t>
      </w:r>
    </w:p>
    <w:p>
      <w:pPr>
        <w:pStyle w:val="TextBody"/>
        <w:bidi w:val="0"/>
        <w:spacing w:before="0" w:after="0"/>
        <w:ind w:left="360" w:right="0" w:hanging="0"/>
        <w:jc w:val="both"/>
        <w:rPr>
          <w:caps w:val="false"/>
          <w:smallCaps w:val="false"/>
        </w:rPr>
      </w:pPr>
      <w:r>
        <w:rPr>
          <w:caps w:val="false"/>
          <w:smallCaps w:val="false"/>
        </w:rPr>
        <w:t> </w:t>
      </w:r>
    </w:p>
    <w:tbl>
      <w:tblPr>
        <w:tblW w:w="7360" w:type="dxa"/>
        <w:jc w:val="left"/>
        <w:tblInd w:w="0" w:type="dxa"/>
        <w:tblLayout w:type="fixed"/>
        <w:tblCellMar>
          <w:top w:w="0" w:type="dxa"/>
          <w:left w:w="0" w:type="dxa"/>
          <w:bottom w:w="28" w:type="dxa"/>
          <w:right w:w="0" w:type="dxa"/>
        </w:tblCellMar>
      </w:tblPr>
      <w:tblGrid>
        <w:gridCol w:w="3815"/>
        <w:gridCol w:w="90"/>
        <w:gridCol w:w="3455"/>
      </w:tblGrid>
      <w:tr>
        <w:trPr/>
        <w:tc>
          <w:tcPr>
            <w:tcW w:w="3815" w:type="dxa"/>
            <w:tcBorders>
              <w:bottom w:val="single" w:sz="12" w:space="0" w:color="000000"/>
            </w:tcBorders>
            <w:vAlign w:val="center"/>
          </w:tcPr>
          <w:p>
            <w:pPr>
              <w:pStyle w:val="TableContents"/>
              <w:bidi w:val="0"/>
              <w:spacing w:before="0" w:after="283"/>
              <w:jc w:val="left"/>
              <w:rPr>
                <w:b/>
              </w:rPr>
            </w:pPr>
            <w:r>
              <w:rPr>
                <w:b/>
              </w:rPr>
              <w:t>Category</w:t>
            </w:r>
          </w:p>
        </w:tc>
        <w:tc>
          <w:tcPr>
            <w:tcW w:w="90" w:type="dxa"/>
            <w:tcBorders/>
            <w:tcMar>
              <w:bottom w:w="0" w:type="dxa"/>
            </w:tcMar>
            <w:vAlign w:val="center"/>
          </w:tcPr>
          <w:p>
            <w:pPr>
              <w:pStyle w:val="TableContents"/>
              <w:bidi w:val="0"/>
              <w:spacing w:before="0" w:after="283"/>
              <w:jc w:val="left"/>
              <w:rPr/>
            </w:pPr>
            <w:r>
              <w:rPr/>
              <w:t> </w:t>
            </w:r>
          </w:p>
        </w:tc>
        <w:tc>
          <w:tcPr>
            <w:tcW w:w="3455" w:type="dxa"/>
            <w:tcBorders>
              <w:bottom w:val="single" w:sz="12" w:space="0" w:color="000000"/>
            </w:tcBorders>
            <w:vAlign w:val="center"/>
          </w:tcPr>
          <w:p>
            <w:pPr>
              <w:pStyle w:val="TableContents"/>
              <w:bidi w:val="0"/>
              <w:spacing w:before="0" w:after="283"/>
              <w:jc w:val="center"/>
              <w:rPr>
                <w:b/>
              </w:rPr>
            </w:pPr>
            <w:r>
              <w:rPr>
                <w:b/>
              </w:rPr>
              <w:t>Estimated useful lives</w:t>
            </w:r>
          </w:p>
        </w:tc>
      </w:tr>
      <w:tr>
        <w:trPr/>
        <w:tc>
          <w:tcPr>
            <w:tcW w:w="3815" w:type="dxa"/>
            <w:tcBorders/>
            <w:shd w:fill="CCEEFF" w:val="clear"/>
            <w:tcMar>
              <w:bottom w:w="0" w:type="dxa"/>
            </w:tcMar>
            <w:vAlign w:val="center"/>
          </w:tcPr>
          <w:p>
            <w:pPr>
              <w:pStyle w:val="TableContents"/>
              <w:bidi w:val="0"/>
              <w:spacing w:before="0" w:after="283"/>
              <w:jc w:val="both"/>
              <w:rPr/>
            </w:pPr>
            <w:r>
              <w:rPr/>
              <w:t>Machinery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55" w:type="dxa"/>
            <w:tcBorders/>
            <w:shd w:fill="CCEEFF" w:val="clear"/>
            <w:tcMar>
              <w:bottom w:w="0" w:type="dxa"/>
            </w:tcMar>
            <w:vAlign w:val="center"/>
          </w:tcPr>
          <w:p>
            <w:pPr>
              <w:pStyle w:val="TableContents"/>
              <w:bidi w:val="0"/>
              <w:spacing w:before="0" w:after="283"/>
              <w:jc w:val="center"/>
              <w:rPr/>
            </w:pPr>
            <w:r>
              <w:rPr/>
              <w:t>2 – 10 years</w:t>
            </w:r>
          </w:p>
        </w:tc>
      </w:tr>
      <w:tr>
        <w:trPr/>
        <w:tc>
          <w:tcPr>
            <w:tcW w:w="3815" w:type="dxa"/>
            <w:tcBorders/>
            <w:tcMar>
              <w:bottom w:w="0" w:type="dxa"/>
            </w:tcMar>
            <w:vAlign w:val="center"/>
          </w:tcPr>
          <w:p>
            <w:pPr>
              <w:pStyle w:val="TableContents"/>
              <w:bidi w:val="0"/>
              <w:spacing w:before="0" w:after="283"/>
              <w:jc w:val="both"/>
              <w:rPr/>
            </w:pPr>
            <w:r>
              <w:rPr/>
              <w:t>Office equipment, furniture and fixtures</w:t>
            </w:r>
          </w:p>
        </w:tc>
        <w:tc>
          <w:tcPr>
            <w:tcW w:w="90" w:type="dxa"/>
            <w:tcBorders/>
            <w:tcMar>
              <w:bottom w:w="0" w:type="dxa"/>
            </w:tcMar>
            <w:vAlign w:val="center"/>
          </w:tcPr>
          <w:p>
            <w:pPr>
              <w:pStyle w:val="TableContents"/>
              <w:bidi w:val="0"/>
              <w:spacing w:before="0" w:after="283"/>
              <w:jc w:val="left"/>
              <w:rPr/>
            </w:pPr>
            <w:r>
              <w:rPr/>
              <w:t> </w:t>
            </w:r>
          </w:p>
        </w:tc>
        <w:tc>
          <w:tcPr>
            <w:tcW w:w="3455" w:type="dxa"/>
            <w:tcBorders/>
            <w:tcMar>
              <w:bottom w:w="0" w:type="dxa"/>
            </w:tcMar>
            <w:vAlign w:val="center"/>
          </w:tcPr>
          <w:p>
            <w:pPr>
              <w:pStyle w:val="TableContents"/>
              <w:bidi w:val="0"/>
              <w:spacing w:before="0" w:after="283"/>
              <w:jc w:val="center"/>
              <w:rPr/>
            </w:pPr>
            <w:r>
              <w:rPr/>
              <w:t>2 – 5 years</w:t>
            </w:r>
          </w:p>
        </w:tc>
      </w:tr>
      <w:tr>
        <w:trPr/>
        <w:tc>
          <w:tcPr>
            <w:tcW w:w="3815" w:type="dxa"/>
            <w:tcBorders/>
            <w:shd w:fill="CCEEFF" w:val="clear"/>
            <w:tcMar>
              <w:bottom w:w="0" w:type="dxa"/>
            </w:tcMar>
            <w:vAlign w:val="center"/>
          </w:tcPr>
          <w:p>
            <w:pPr>
              <w:pStyle w:val="TableContents"/>
              <w:bidi w:val="0"/>
              <w:spacing w:before="0" w:after="283"/>
              <w:jc w:val="both"/>
              <w:rPr/>
            </w:pPr>
            <w:r>
              <w:rPr/>
              <w:t>Leasehold improvements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55" w:type="dxa"/>
            <w:tcBorders/>
            <w:shd w:fill="CCEEFF" w:val="clear"/>
            <w:tcMar>
              <w:bottom w:w="0" w:type="dxa"/>
            </w:tcMar>
            <w:vAlign w:val="center"/>
          </w:tcPr>
          <w:p>
            <w:pPr>
              <w:pStyle w:val="TableContents"/>
              <w:bidi w:val="0"/>
              <w:spacing w:before="0" w:after="283"/>
              <w:jc w:val="center"/>
              <w:rPr/>
            </w:pPr>
            <w:r>
              <w:rPr/>
              <w:t>Lesser of useful life and lease terms</w:t>
            </w:r>
          </w:p>
        </w:tc>
      </w:tr>
      <w:tr>
        <w:trPr/>
        <w:tc>
          <w:tcPr>
            <w:tcW w:w="3815" w:type="dxa"/>
            <w:tcBorders/>
            <w:tcMar>
              <w:bottom w:w="0" w:type="dxa"/>
            </w:tcMar>
            <w:vAlign w:val="center"/>
          </w:tcPr>
          <w:p>
            <w:pPr>
              <w:pStyle w:val="TableContents"/>
              <w:bidi w:val="0"/>
              <w:spacing w:before="0" w:after="283"/>
              <w:jc w:val="both"/>
              <w:rPr/>
            </w:pPr>
            <w:r>
              <w:rPr/>
              <w:t>Motor vehicle</w:t>
            </w:r>
          </w:p>
        </w:tc>
        <w:tc>
          <w:tcPr>
            <w:tcW w:w="90" w:type="dxa"/>
            <w:tcBorders/>
            <w:tcMar>
              <w:bottom w:w="0" w:type="dxa"/>
            </w:tcMar>
            <w:vAlign w:val="center"/>
          </w:tcPr>
          <w:p>
            <w:pPr>
              <w:pStyle w:val="TableContents"/>
              <w:bidi w:val="0"/>
              <w:spacing w:before="0" w:after="283"/>
              <w:jc w:val="left"/>
              <w:rPr/>
            </w:pPr>
            <w:r>
              <w:rPr/>
              <w:t> </w:t>
            </w:r>
          </w:p>
        </w:tc>
        <w:tc>
          <w:tcPr>
            <w:tcW w:w="3455" w:type="dxa"/>
            <w:tcBorders/>
            <w:tcMar>
              <w:bottom w:w="0" w:type="dxa"/>
            </w:tcMar>
            <w:vAlign w:val="center"/>
          </w:tcPr>
          <w:p>
            <w:pPr>
              <w:pStyle w:val="TableContents"/>
              <w:bidi w:val="0"/>
              <w:spacing w:before="0" w:after="283"/>
              <w:jc w:val="center"/>
              <w:rPr/>
            </w:pPr>
            <w:r>
              <w:rPr/>
              <w:t>4 years</w:t>
            </w:r>
          </w:p>
        </w:tc>
      </w:tr>
      <w:tr>
        <w:trPr/>
        <w:tc>
          <w:tcPr>
            <w:tcW w:w="3815" w:type="dxa"/>
            <w:tcBorders/>
            <w:shd w:fill="CCEEFF" w:val="clear"/>
            <w:tcMar>
              <w:bottom w:w="0" w:type="dxa"/>
            </w:tcMar>
            <w:vAlign w:val="center"/>
          </w:tcPr>
          <w:p>
            <w:pPr>
              <w:pStyle w:val="TableContents"/>
              <w:bidi w:val="0"/>
              <w:spacing w:before="0" w:after="283"/>
              <w:jc w:val="both"/>
              <w:rPr/>
            </w:pPr>
            <w:r>
              <w:rPr/>
              <w:t>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55" w:type="dxa"/>
            <w:tcBorders/>
            <w:shd w:fill="CCEEFF" w:val="clear"/>
            <w:tcMar>
              <w:bottom w:w="0" w:type="dxa"/>
            </w:tcMar>
            <w:vAlign w:val="center"/>
          </w:tcPr>
          <w:p>
            <w:pPr>
              <w:pStyle w:val="TableContents"/>
              <w:bidi w:val="0"/>
              <w:spacing w:before="0" w:after="283"/>
              <w:jc w:val="center"/>
              <w:rPr/>
            </w:pPr>
            <w:r>
              <w:rPr/>
              <w:t>Indefinite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 and maintenance costs are charged to expenses as incurred, whereas the cost of renewals and betterments that extend the useful lives of property, plant and equipment are capitalized as additions to the related assets. Direct costs that are related to the construction of property, plant and equipment and incurred in connection with bringing the assets to their intended use are capitalized as construction in progress. Construction in progress is transferred to specific property, plant and equipment and the depreciation of these assets commences when the assets are ready for their intended use. Retirements, sales and disposals of assets are recorded by removing the costs, accumulated depreciation and impairment with any resulting gain or loss recognized in the consolidated statements of operations and comprehensive loss in other income or expenses.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1"/>
        <w:gridCol w:w="1077"/>
        <w:gridCol w:w="8847"/>
      </w:tblGrid>
      <w:tr>
        <w:trPr/>
        <w:tc>
          <w:tcPr>
            <w:tcW w:w="28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b/>
                <w:i/>
              </w:rPr>
            </w:pPr>
            <w:r>
              <w:rPr>
                <w:b/>
                <w:i/>
              </w:rPr>
              <w:t>(j)</w:t>
            </w:r>
          </w:p>
        </w:tc>
        <w:tc>
          <w:tcPr>
            <w:tcW w:w="8847" w:type="dxa"/>
            <w:tcBorders/>
            <w:vAlign w:val="center"/>
          </w:tcPr>
          <w:p>
            <w:pPr>
              <w:pStyle w:val="TableContents"/>
              <w:bidi w:val="0"/>
              <w:spacing w:before="0" w:after="283"/>
              <w:jc w:val="both"/>
              <w:rPr>
                <w:b/>
                <w:i/>
              </w:rPr>
            </w:pPr>
            <w:r>
              <w:rPr>
                <w:b/>
                <w:i/>
              </w:rPr>
              <w:t>Intangible assets, net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are stated at cost less accumulated amortization and amortized in a method which reflects the pattern in which the economic benefits of the intangible assets are expected to be consumed or otherwise used up. Intangible assets are amortized using the straight-line approach over the estimated economic useful lives of the asset as follows:</w:t>
      </w:r>
    </w:p>
    <w:p>
      <w:pPr>
        <w:pStyle w:val="TextBody"/>
        <w:bidi w:val="0"/>
        <w:spacing w:before="0" w:after="0"/>
        <w:ind w:left="36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28" w:type="dxa"/>
          <w:right w:w="0" w:type="dxa"/>
        </w:tblCellMar>
      </w:tblPr>
      <w:tblGrid>
        <w:gridCol w:w="1010"/>
        <w:gridCol w:w="90"/>
        <w:gridCol w:w="1190"/>
      </w:tblGrid>
      <w:tr>
        <w:trPr/>
        <w:tc>
          <w:tcPr>
            <w:tcW w:w="1010" w:type="dxa"/>
            <w:tcBorders>
              <w:bottom w:val="single" w:sz="12" w:space="0" w:color="000000"/>
            </w:tcBorders>
            <w:vAlign w:val="center"/>
          </w:tcPr>
          <w:p>
            <w:pPr>
              <w:pStyle w:val="TableContents"/>
              <w:bidi w:val="0"/>
              <w:spacing w:before="0" w:after="283"/>
              <w:jc w:val="left"/>
              <w:rPr>
                <w:b/>
              </w:rPr>
            </w:pPr>
            <w:r>
              <w:rPr>
                <w:b/>
              </w:rPr>
              <w:t>Category</w:t>
            </w:r>
          </w:p>
        </w:tc>
        <w:tc>
          <w:tcPr>
            <w:tcW w:w="90" w:type="dxa"/>
            <w:tcBorders/>
            <w:tcMar>
              <w:bottom w:w="0" w:type="dxa"/>
            </w:tcMar>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center"/>
              <w:rPr>
                <w:b/>
              </w:rPr>
            </w:pPr>
            <w:r>
              <w:rPr>
                <w:b/>
              </w:rPr>
              <w:t>Estimated</w:t>
              <w:br/>
              <w:t>useful lives</w:t>
            </w:r>
          </w:p>
        </w:tc>
      </w:tr>
      <w:tr>
        <w:trPr/>
        <w:tc>
          <w:tcPr>
            <w:tcW w:w="1010" w:type="dxa"/>
            <w:tcBorders/>
            <w:shd w:fill="CCEEFF" w:val="clear"/>
            <w:tcMar>
              <w:bottom w:w="0" w:type="dxa"/>
            </w:tcMar>
            <w:vAlign w:val="center"/>
          </w:tcPr>
          <w:p>
            <w:pPr>
              <w:pStyle w:val="TableContents"/>
              <w:bidi w:val="0"/>
              <w:spacing w:before="0" w:after="283"/>
              <w:jc w:val="both"/>
              <w:rPr/>
            </w:pPr>
            <w:r>
              <w:rPr/>
              <w:t>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3-5 years</w:t>
            </w:r>
          </w:p>
        </w:tc>
      </w:tr>
    </w:tbl>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7"/>
        <w:gridCol w:w="929"/>
        <w:gridCol w:w="9079"/>
      </w:tblGrid>
      <w:tr>
        <w:trPr/>
        <w:tc>
          <w:tcPr>
            <w:tcW w:w="19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b/>
                <w:i/>
              </w:rPr>
            </w:pPr>
            <w:r>
              <w:rPr>
                <w:b/>
                <w:i/>
              </w:rPr>
              <w:t>(k)</w:t>
            </w:r>
          </w:p>
        </w:tc>
        <w:tc>
          <w:tcPr>
            <w:tcW w:w="9079" w:type="dxa"/>
            <w:tcBorders/>
            <w:vAlign w:val="center"/>
          </w:tcPr>
          <w:p>
            <w:pPr>
              <w:pStyle w:val="TableContents"/>
              <w:bidi w:val="0"/>
              <w:spacing w:before="0" w:after="283"/>
              <w:jc w:val="both"/>
              <w:rPr>
                <w:b/>
                <w:i/>
              </w:rPr>
            </w:pPr>
            <w:r>
              <w:rPr>
                <w:b/>
                <w:i/>
              </w:rPr>
              <w:t>Impairment of long-lived assets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the carrying amount over the fair value of the assets, using the expected future discounted cash flows. There were no impairments of these long-lived assets for the years ended March 31, 2026, 2025 and 2024.</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7"/>
        <w:gridCol w:w="945"/>
        <w:gridCol w:w="9013"/>
      </w:tblGrid>
      <w:tr>
        <w:trPr/>
        <w:tc>
          <w:tcPr>
            <w:tcW w:w="24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b/>
                <w:i/>
              </w:rPr>
            </w:pPr>
            <w:r>
              <w:rPr>
                <w:b/>
                <w:i/>
              </w:rPr>
              <w:t>(l)</w:t>
            </w:r>
          </w:p>
        </w:tc>
        <w:tc>
          <w:tcPr>
            <w:tcW w:w="9013" w:type="dxa"/>
            <w:tcBorders/>
            <w:vAlign w:val="center"/>
          </w:tcPr>
          <w:p>
            <w:pPr>
              <w:pStyle w:val="TableContents"/>
              <w:bidi w:val="0"/>
              <w:spacing w:before="0" w:after="283"/>
              <w:jc w:val="both"/>
              <w:rPr>
                <w:b/>
                <w:i/>
              </w:rPr>
            </w:pPr>
            <w:r>
              <w:rPr>
                <w:b/>
                <w:i/>
              </w:rPr>
              <w:t>Fair value measurement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applies ASC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(“ASC 820’’). ASC 820 defines fair value, establishes a framework for measuring fair value and expands disclosures about fair value measurements. ASC 820 requires disclosures to be provided on fair value measurement.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three-tier fair value hierarchy, which prioritizes the inputs used in measuring fair value as follows:</w:t>
      </w:r>
    </w:p>
    <w:p>
      <w:pPr>
        <w:pStyle w:val="TextBody"/>
        <w:bidi w:val="0"/>
        <w:spacing w:before="0" w:after="0"/>
        <w:ind w:left="960" w:right="0" w:hanging="48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105"/>
        <w:gridCol w:w="200"/>
        <w:gridCol w:w="96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635" w:type="dxa"/>
            <w:tcBorders/>
            <w:vAlign w:val="center"/>
          </w:tcPr>
          <w:p>
            <w:pPr>
              <w:pStyle w:val="TableContents"/>
              <w:bidi w:val="0"/>
              <w:spacing w:before="0" w:after="283"/>
              <w:jc w:val="both"/>
              <w:rPr>
                <w:sz w:val="20"/>
              </w:rPr>
            </w:pPr>
            <w:r>
              <w:rPr>
                <w:sz w:val="20"/>
              </w:rPr>
              <w:t>Level 1 — Observable inputs that reflect quoted prices (unadjusted) for identical assets or liabilities in active markets.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63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635" w:type="dxa"/>
            <w:tcBorders/>
            <w:vAlign w:val="center"/>
          </w:tcPr>
          <w:p>
            <w:pPr>
              <w:pStyle w:val="TableContents"/>
              <w:bidi w:val="0"/>
              <w:spacing w:before="0" w:after="283"/>
              <w:jc w:val="both"/>
              <w:rPr>
                <w:sz w:val="20"/>
              </w:rPr>
            </w:pPr>
            <w:r>
              <w:rPr>
                <w:sz w:val="20"/>
              </w:rPr>
              <w:t>Level 2 — Include other inputs that are directly or indirectly observable in the marketplace.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63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left"/>
              <w:rPr>
                <w:sz w:val="20"/>
              </w:rPr>
            </w:pPr>
            <w:r>
              <w:rPr>
                <w:sz w:val="20"/>
              </w:rPr>
              <w:t>Level 3 — Unobservable inputs which are supported by little or no market activity.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of the Group primarily consisted of cash, restricted cash, accounts receivable, accounts payable and accrued expenses and other current liabilities. As of March 31, 2026 and 2025, the carrying amounts of the Group’s financial instruments approximated to their fair value of the respective assets and liabilities based upon the short-term nature of these assets and liabilities, all of which are categorized within Level 3 fair value hierarchy.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believes that the carrying amount of long-term loans, current portion approximate fair value at March 31, 2026 and 2025 based on the terms of the borrowings and current market rates, as the rates of the borrowings are reflective of the current market rates.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045"/>
        <w:gridCol w:w="8973"/>
      </w:tblGrid>
      <w:tr>
        <w:trPr/>
        <w:tc>
          <w:tcPr>
            <w:tcW w:w="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b/>
                <w:i/>
              </w:rPr>
            </w:pPr>
            <w:r>
              <w:rPr>
                <w:b/>
                <w:i/>
              </w:rPr>
              <w:t>(m)</w:t>
            </w:r>
          </w:p>
        </w:tc>
        <w:tc>
          <w:tcPr>
            <w:tcW w:w="8973" w:type="dxa"/>
            <w:tcBorders/>
            <w:vAlign w:val="center"/>
          </w:tcPr>
          <w:p>
            <w:pPr>
              <w:pStyle w:val="TableContents"/>
              <w:bidi w:val="0"/>
              <w:spacing w:before="0" w:after="283"/>
              <w:jc w:val="both"/>
              <w:rPr>
                <w:b/>
                <w:i/>
              </w:rPr>
            </w:pPr>
            <w:r>
              <w:rPr>
                <w:b/>
                <w:i/>
              </w:rPr>
              <w:t>Commitments and contingencies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may be a party to various legal actions arising in the ordinary course of business. The Group accrues costs associated with these matters when they become probable and the amount can be reasonably estimated. Legal costs incurred in connection with loss contingencies are expensed as incurred. For the years ended March 31, 2026, 2025 and 2024, the Group did not have any material legal claims or litigation that, individually or in aggregate, could have a material adverse impact on the Group’s consolidated financial position, results of operations, and cash flows.</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1354"/>
        <w:gridCol w:w="8576"/>
      </w:tblGrid>
      <w:tr>
        <w:trPr/>
        <w:tc>
          <w:tcPr>
            <w:tcW w:w="27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b/>
                <w:i/>
              </w:rPr>
            </w:pPr>
            <w:r>
              <w:rPr>
                <w:b/>
                <w:i/>
              </w:rPr>
              <w:t>(n)</w:t>
            </w:r>
          </w:p>
        </w:tc>
        <w:tc>
          <w:tcPr>
            <w:tcW w:w="8576" w:type="dxa"/>
            <w:tcBorders/>
            <w:vAlign w:val="center"/>
          </w:tcPr>
          <w:p>
            <w:pPr>
              <w:pStyle w:val="TableContents"/>
              <w:bidi w:val="0"/>
              <w:spacing w:before="0" w:after="283"/>
              <w:jc w:val="both"/>
              <w:rPr>
                <w:b/>
                <w:i/>
              </w:rPr>
            </w:pPr>
            <w:r>
              <w:rPr>
                <w:b/>
                <w:i/>
              </w:rPr>
              <w:t>Revenue recognition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606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revenue recognition for contracts with customers, the Group performs the following five steps:</w:t>
      </w:r>
    </w:p>
    <w:p>
      <w:pPr>
        <w:pStyle w:val="TextBody"/>
        <w:bidi w:val="0"/>
        <w:spacing w:before="0" w:after="0"/>
        <w:ind w:left="36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105"/>
        <w:gridCol w:w="620"/>
        <w:gridCol w:w="3230"/>
      </w:tblGrid>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Step 1:</w:t>
            </w:r>
          </w:p>
        </w:tc>
        <w:tc>
          <w:tcPr>
            <w:tcW w:w="3230" w:type="dxa"/>
            <w:tcBorders/>
            <w:vAlign w:val="center"/>
          </w:tcPr>
          <w:p>
            <w:pPr>
              <w:pStyle w:val="TableContents"/>
              <w:bidi w:val="0"/>
              <w:spacing w:before="0" w:after="283"/>
              <w:jc w:val="both"/>
              <w:rPr>
                <w:sz w:val="20"/>
              </w:rPr>
            </w:pPr>
            <w:r>
              <w:rPr>
                <w:sz w:val="20"/>
              </w:rPr>
              <w:t>Identify the contract with the customer</w:t>
            </w:r>
          </w:p>
        </w:tc>
      </w:tr>
    </w:tbl>
    <w:p>
      <w:pPr>
        <w:pStyle w:val="TextBody"/>
        <w:bidi w:val="0"/>
        <w:spacing w:before="0" w:after="0"/>
        <w:ind w:left="36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05"/>
        <w:gridCol w:w="620"/>
        <w:gridCol w:w="4280"/>
      </w:tblGrid>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Step 2:</w:t>
            </w:r>
          </w:p>
        </w:tc>
        <w:tc>
          <w:tcPr>
            <w:tcW w:w="4280" w:type="dxa"/>
            <w:tcBorders/>
            <w:vAlign w:val="center"/>
          </w:tcPr>
          <w:p>
            <w:pPr>
              <w:pStyle w:val="TableContents"/>
              <w:bidi w:val="0"/>
              <w:spacing w:before="0" w:after="283"/>
              <w:jc w:val="both"/>
              <w:rPr>
                <w:sz w:val="20"/>
              </w:rPr>
            </w:pPr>
            <w:r>
              <w:rPr>
                <w:sz w:val="20"/>
              </w:rPr>
              <w:t>Identify the performance obligations in the contract</w:t>
            </w:r>
          </w:p>
        </w:tc>
      </w:tr>
    </w:tbl>
    <w:p>
      <w:pPr>
        <w:pStyle w:val="TextBody"/>
        <w:bidi w:val="0"/>
        <w:spacing w:before="0" w:after="0"/>
        <w:ind w:left="36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5"/>
        <w:gridCol w:w="620"/>
        <w:gridCol w:w="2630"/>
      </w:tblGrid>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Step 3:</w:t>
            </w:r>
          </w:p>
        </w:tc>
        <w:tc>
          <w:tcPr>
            <w:tcW w:w="2630" w:type="dxa"/>
            <w:tcBorders/>
            <w:vAlign w:val="center"/>
          </w:tcPr>
          <w:p>
            <w:pPr>
              <w:pStyle w:val="TableContents"/>
              <w:bidi w:val="0"/>
              <w:spacing w:before="0" w:after="283"/>
              <w:jc w:val="both"/>
              <w:rPr>
                <w:sz w:val="20"/>
              </w:rPr>
            </w:pPr>
            <w:r>
              <w:rPr>
                <w:sz w:val="20"/>
              </w:rPr>
              <w:t>Determine the transaction price</w:t>
            </w:r>
          </w:p>
        </w:tc>
      </w:tr>
    </w:tbl>
    <w:p>
      <w:pPr>
        <w:pStyle w:val="TextBody"/>
        <w:bidi w:val="0"/>
        <w:spacing w:before="0" w:after="0"/>
        <w:ind w:left="36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105"/>
        <w:gridCol w:w="620"/>
        <w:gridCol w:w="6230"/>
      </w:tblGrid>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Step 4:</w:t>
            </w:r>
          </w:p>
        </w:tc>
        <w:tc>
          <w:tcPr>
            <w:tcW w:w="6230" w:type="dxa"/>
            <w:tcBorders/>
            <w:vAlign w:val="center"/>
          </w:tcPr>
          <w:p>
            <w:pPr>
              <w:pStyle w:val="TableContents"/>
              <w:bidi w:val="0"/>
              <w:spacing w:before="0" w:after="283"/>
              <w:jc w:val="both"/>
              <w:rPr>
                <w:sz w:val="20"/>
              </w:rPr>
            </w:pPr>
            <w:r>
              <w:rPr>
                <w:sz w:val="20"/>
              </w:rPr>
              <w:t>Allocate the transaction price to the performance obligations in the contract</w:t>
            </w:r>
          </w:p>
        </w:tc>
      </w:tr>
    </w:tbl>
    <w:p>
      <w:pPr>
        <w:pStyle w:val="TextBody"/>
        <w:bidi w:val="0"/>
        <w:spacing w:before="0" w:after="0"/>
        <w:ind w:left="360" w:right="0" w:hanging="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5"/>
        <w:gridCol w:w="620"/>
        <w:gridCol w:w="5765"/>
      </w:tblGrid>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Step 5:</w:t>
            </w:r>
          </w:p>
        </w:tc>
        <w:tc>
          <w:tcPr>
            <w:tcW w:w="5765" w:type="dxa"/>
            <w:tcBorders/>
            <w:vAlign w:val="center"/>
          </w:tcPr>
          <w:p>
            <w:pPr>
              <w:pStyle w:val="TableContents"/>
              <w:bidi w:val="0"/>
              <w:spacing w:before="0" w:after="283"/>
              <w:jc w:val="both"/>
              <w:rPr>
                <w:sz w:val="20"/>
              </w:rPr>
            </w:pPr>
            <w:r>
              <w:rPr>
                <w:sz w:val="20"/>
              </w:rPr>
              <w:t>Recognize revenue when the Group satisfies a performance obligation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manufactures and sells interconnect products, including connectors, cables and wire harnesses.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when it transfers its goods to customers in an amount that reflects the consideration to which the Group expects to be entitled in such exchange. The Group accounts for the revenue generated from sales of its products to its customers on a gross basis, because the Group is acting as a principal in these transactions, is subject to inventory risk, has latitude in establishing prices, and is responsible for fulfilling the promise to provide customers the specified goods. All of the Group’s contracts have single performance obligation as the promise is to transfer the individual goods at a fixed price to customers, and there are no other separately identifiable promises or financial component in the contracts.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 is recognized at a point in time when title and risk of loss passes and the customer accepts the goods, which generally occurs at delivery. The Group’s products are sold with no right of return and the Group does not provide other credits or sales incentives to customers. Revenue is reported net of value added tax (“VAT”).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Disaggregation of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disaggregates its revenue from contracts by product category and geographic regions, as the Group believes it best depicts how the nature, amount, timing and uncertainty of the revenue and cash flows are affected by economic factors. The Group’s disaggregation of revenues for the years ended March 31, 2026, 2025 and 2024 are disclosed in Note 15 to these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assets and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 are established on the Group’s pre-established credit requirements based upon an evaluation of customers’ credit. Accounts receivable represent revenue recognized for the amounts invoiced and/or prior to invoicing when the Group has satisfied its performance obligation and has unconditional right to the payment. Contract assets represent the Group’s right to consideration in exchange for goods or services that the Group has transferred to a customer. Other than accounts receivable, the Group had no other material contract assets recorded on its consolidated balance sheets as of March 31, 2026 and 2025,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contract liabilities primarily relate to unsatisfied performance obligations when payment has been received from customers before the Group’s products are delivered, and are recorded as “advance from customers” on the consolidated balance sheets. Costs of fulfilling customers’ purchase orders, such as shipping, handling and delivery, which occur prior to the transfer of control, are recognized in selling, general and administrative expenses when incurred. Advance from customers amounted to $317,751 and $141,737 as of March 31, 2026 and 2025, respectively. Revenue included in the beginning balance of advance from customers and recognized in the years ended March 31, 2026, 2025 and 2024 amounted to $141,737, $207,293 and $186,874, respectively.</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4"/>
        <w:gridCol w:w="1622"/>
        <w:gridCol w:w="8239"/>
      </w:tblGrid>
      <w:tr>
        <w:trPr/>
        <w:tc>
          <w:tcPr>
            <w:tcW w:w="34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b/>
                <w:i/>
              </w:rPr>
            </w:pPr>
            <w:r>
              <w:rPr>
                <w:b/>
                <w:i/>
              </w:rPr>
              <w:t>(o)</w:t>
            </w:r>
          </w:p>
        </w:tc>
        <w:tc>
          <w:tcPr>
            <w:tcW w:w="8239" w:type="dxa"/>
            <w:tcBorders/>
            <w:vAlign w:val="center"/>
          </w:tcPr>
          <w:p>
            <w:pPr>
              <w:pStyle w:val="TableContents"/>
              <w:bidi w:val="0"/>
              <w:spacing w:before="0" w:after="283"/>
              <w:jc w:val="both"/>
              <w:rPr>
                <w:b/>
                <w:i/>
              </w:rPr>
            </w:pPr>
            <w:r>
              <w:rPr>
                <w:b/>
                <w:i/>
              </w:rPr>
              <w:t>Cost of revenue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(i) cost of materials; (ii) labor costs; (iii) inventory write-down; (iv) depreciation and amortization; and (v) rental expenses for the factory and employee dormitory. Depreciation and amortization of manufacturing facilities and warehouses attributable to manufacturing activities are capitalized as part of the cost of inventory, and expensed in costs of revenues when the inventory is sold.</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2"/>
        <w:gridCol w:w="1564"/>
        <w:gridCol w:w="8309"/>
      </w:tblGrid>
      <w:tr>
        <w:trPr/>
        <w:tc>
          <w:tcPr>
            <w:tcW w:w="33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b/>
                <w:i/>
              </w:rPr>
            </w:pPr>
            <w:r>
              <w:rPr>
                <w:b/>
                <w:i/>
              </w:rPr>
              <w:t>(p)</w:t>
            </w:r>
          </w:p>
        </w:tc>
        <w:tc>
          <w:tcPr>
            <w:tcW w:w="8309" w:type="dxa"/>
            <w:tcBorders/>
            <w:vAlign w:val="center"/>
          </w:tcPr>
          <w:p>
            <w:pPr>
              <w:pStyle w:val="TableContents"/>
              <w:bidi w:val="0"/>
              <w:spacing w:before="0" w:after="283"/>
              <w:jc w:val="both"/>
              <w:rPr>
                <w:b/>
                <w:i/>
              </w:rPr>
            </w:pPr>
            <w:r>
              <w:rPr>
                <w:b/>
                <w:i/>
              </w:rPr>
              <w:t>Selling expenses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mainly consist of (i) marketing and business development service fees; (ii) marketing and entertainment expenses for promotion; (iii) staff costs, travelling expenses, rental and depreciation related to selling and marketing functions; (iv) freight fees and transportation fees; and (v) office, utility and other expenses.</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803"/>
        <w:gridCol w:w="9232"/>
      </w:tblGrid>
      <w:tr>
        <w:trPr/>
        <w:tc>
          <w:tcPr>
            <w:tcW w:w="17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b/>
                <w:i/>
              </w:rPr>
            </w:pPr>
            <w:r>
              <w:rPr>
                <w:b/>
                <w:i/>
              </w:rPr>
              <w:t>(q)</w:t>
            </w:r>
          </w:p>
        </w:tc>
        <w:tc>
          <w:tcPr>
            <w:tcW w:w="9232" w:type="dxa"/>
            <w:tcBorders/>
            <w:vAlign w:val="center"/>
          </w:tcPr>
          <w:p>
            <w:pPr>
              <w:pStyle w:val="TableContents"/>
              <w:bidi w:val="0"/>
              <w:spacing w:before="0" w:after="283"/>
              <w:jc w:val="both"/>
              <w:rPr>
                <w:b/>
                <w:i/>
              </w:rPr>
            </w:pPr>
            <w:r>
              <w:rPr>
                <w:b/>
                <w:i/>
              </w:rPr>
              <w:t>General and administrative expenses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mainly consist of (i) salaries and benefits for our administrative personnel; (ii) agent and professional fees; (iii) office expenses, expenses for office supplies and consumables; (iv) depreciation and amortization expenses relating to property, plant and equipment and leased properties used for administrative purposes; and (v) other expenses, which primarily include utilities, traveling, entertainment, repair and maintenance, rental and other miscellaneous expenses for administrative purposes.</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593"/>
        <w:gridCol w:w="9473"/>
      </w:tblGrid>
      <w:tr>
        <w:trPr/>
        <w:tc>
          <w:tcPr>
            <w:tcW w:w="13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b/>
                <w:i/>
              </w:rPr>
            </w:pPr>
            <w:r>
              <w:rPr>
                <w:b/>
                <w:i/>
              </w:rPr>
              <w:t>(r)</w:t>
            </w:r>
          </w:p>
        </w:tc>
        <w:tc>
          <w:tcPr>
            <w:tcW w:w="9473" w:type="dxa"/>
            <w:tcBorders/>
            <w:vAlign w:val="center"/>
          </w:tcPr>
          <w:p>
            <w:pPr>
              <w:pStyle w:val="TableContents"/>
              <w:bidi w:val="0"/>
              <w:spacing w:before="0" w:after="283"/>
              <w:jc w:val="both"/>
              <w:rPr>
                <w:b/>
                <w:i/>
              </w:rPr>
            </w:pPr>
            <w:r>
              <w:rPr>
                <w:b/>
                <w:i/>
              </w:rPr>
              <w:t>Research and development (“R&amp;D”) expenses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730, research and development expenses related to the creation of new and improved products and processes are expensed as incurred, which mainly consist of (i)consulting and professional service fees related to R&amp;D; (ii) salaries, welfare and insurance expenses paid to R&amp;D employees; (iii) costs of materials and components for the research and development activities; and (iv) manufacturing expenses for producing samples related to research and development activities.</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209"/>
        <w:gridCol w:w="8713"/>
      </w:tblGrid>
      <w:tr>
        <w:trPr/>
        <w:tc>
          <w:tcPr>
            <w:tcW w:w="28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b/>
                <w:i/>
              </w:rPr>
            </w:pPr>
            <w:r>
              <w:rPr>
                <w:b/>
                <w:i/>
              </w:rPr>
              <w:t>(s)</w:t>
            </w:r>
          </w:p>
        </w:tc>
        <w:tc>
          <w:tcPr>
            <w:tcW w:w="8713" w:type="dxa"/>
            <w:tcBorders/>
            <w:vAlign w:val="center"/>
          </w:tcPr>
          <w:p>
            <w:pPr>
              <w:pStyle w:val="TableContents"/>
              <w:bidi w:val="0"/>
              <w:spacing w:before="0" w:after="283"/>
              <w:jc w:val="both"/>
              <w:rPr>
                <w:b/>
                <w:i/>
              </w:rPr>
            </w:pPr>
            <w:r>
              <w:rPr>
                <w:b/>
                <w:i/>
              </w:rPr>
              <w:t>Government subsidy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subsidy is recognized when there is a reasonable assurance that the Group will comply with the conditions attached to it and the grant will be received. Government grant for the purpose of giving immediate financial support to the Group with no future related costs or obligation is recognized in the Company’s consolidated statements of operations and comprehensive loss when the grant becomes receivable. Government subsidies received and recognized as other income totaled nil, $207,257, and $7,255 for the years ended March 31, 2026, 2025 and 2024, respectively.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652"/>
        <w:gridCol w:w="9383"/>
      </w:tblGrid>
      <w:tr>
        <w:trPr/>
        <w:tc>
          <w:tcPr>
            <w:tcW w:w="17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b/>
                <w:i/>
              </w:rPr>
            </w:pPr>
            <w:r>
              <w:rPr>
                <w:b/>
                <w:i/>
              </w:rPr>
              <w:t>(t)</w:t>
            </w:r>
          </w:p>
        </w:tc>
        <w:tc>
          <w:tcPr>
            <w:tcW w:w="9383" w:type="dxa"/>
            <w:tcBorders/>
            <w:vAlign w:val="center"/>
          </w:tcPr>
          <w:p>
            <w:pPr>
              <w:pStyle w:val="TableContents"/>
              <w:bidi w:val="0"/>
              <w:spacing w:before="0" w:after="283"/>
              <w:jc w:val="both"/>
              <w:rPr>
                <w:b/>
                <w:i/>
              </w:rPr>
            </w:pPr>
            <w:r>
              <w:rPr>
                <w:b/>
                <w:i/>
              </w:rPr>
              <w:t>Employee Defined Contribution Plan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 the PRC participate in a government-mandated multi-employer defined contribution plan pursuant to which pension, work-related injury benefits, maternity insurance, medical insurance, unemployment benefits and housing funds are provided to eligible full-time employees. The relevant labor regulations require the Company’s subsidiaries in the PRC to pay the local labor and social welfare authorities monthly contributions based on the applicable benchmarks and rates stipulated by the local government. The contributions to the plan are expensed as incurred. Employee social security and welfare benefits included as expenses in the accompanying consolidated statements of operations and comprehensive loss amounted to $537,888, $531,728 and $372,130 for the years ended March 31, 2026, 2025 and 2024, respectively.</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9"/>
        <w:gridCol w:w="2952"/>
        <w:gridCol w:w="6654"/>
      </w:tblGrid>
      <w:tr>
        <w:trPr/>
        <w:tc>
          <w:tcPr>
            <w:tcW w:w="599"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b/>
                <w:i/>
              </w:rPr>
            </w:pPr>
            <w:r>
              <w:rPr>
                <w:b/>
                <w:i/>
              </w:rPr>
              <w:t>(u)</w:t>
            </w:r>
          </w:p>
        </w:tc>
        <w:tc>
          <w:tcPr>
            <w:tcW w:w="6654" w:type="dxa"/>
            <w:tcBorders/>
            <w:vAlign w:val="center"/>
          </w:tcPr>
          <w:p>
            <w:pPr>
              <w:pStyle w:val="TableContents"/>
              <w:bidi w:val="0"/>
              <w:spacing w:before="0" w:after="283"/>
              <w:jc w:val="both"/>
              <w:rPr>
                <w:b/>
                <w:i/>
              </w:rPr>
            </w:pPr>
            <w:r>
              <w:rPr>
                <w:b/>
                <w:i/>
              </w:rPr>
              <w:t>Leases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premises for factory and offices under non-cancellable operating leases.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842 requires that lessees recognize right-of-use (“ROU”) assets and lease liabilities calculated based on the present value of lease payments for all lease agreements with terms that are greater than twelve months. ASC 842 distinguishes leases as either a finance lease or an operating lease on the consolidated balance sheets that affects how the leases are measured and presented in the statement of operations and statement of cash flows (see Note 11).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Group’s right to use underlying assets including factory, vehicles and production equipment for the lease term and lease liabilities represent the Group’s obligation to make lease payments arising from the lease. At inception of a contract, the Group assesses whether a contract is, or contains, a lease. A contract is or contains a lease if it conveys the right to control the use of an identified asset for a period of time in exchange of a consideration. To assess whether a contract is or contains a lease, the Group assesses whether the contract involves the use of an identified asset, whether it has the right to obtain substantially all the economic benefits from the use of the asset, and whether it has the right to control the use of the asset.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assets and related lease liabilities are recognized at the lease commencement date. The Group recognizes operating lease expenses and finance lease amortization expenses on a straight-line basis over the lease term.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Operating lease right-of-use of assets and finance lease right-of-use of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of asset is initially measured at cost, which comprises the initial amount of the lease liability adjusted for any lease payments made at or before the commencement date, plus any initial direct costs incurred and less any lease incentive received. The Group has both operating lease and finance lease.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operating lease, lease expense is recorded on a straight-line basis over the lease term. The amortization of the right-of-use asset is calculated as the difference between the straight-line lease expense and the interest calculated on the lease liability. For finance lease, the amortization of the right-of-use asset is calculated on a straight-line basis over the lease term.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Operating lease liabilities and finance lease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is initially measured at the present value of the outstanding lease payments at the commencement date, discounted using the Group’s incremental borrowing rate. Lease payments included in the measurement of the lease liability comprise fixed lease payments, variable lease payments that depend on an index or a rate, amounts expected to be payable under a residual value guarantee and any exercise price under a purchase option that the Group is reasonably certain to exercise.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is measured at amortized cost using the effective interest rate method. It is re-measured when there is a change in future lease payments, if there is a change in the estimate of the amount expected to be payable under a residual value guarantee, or if there is any change in the Group assessment of option purchases, contract extensions or termination options.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875"/>
        <w:gridCol w:w="9136"/>
      </w:tblGrid>
      <w:tr>
        <w:trPr/>
        <w:tc>
          <w:tcPr>
            <w:tcW w:w="19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b/>
                <w:i/>
              </w:rPr>
            </w:pPr>
            <w:r>
              <w:rPr>
                <w:b/>
                <w:i/>
              </w:rPr>
              <w:t>(v)</w:t>
            </w:r>
          </w:p>
        </w:tc>
        <w:tc>
          <w:tcPr>
            <w:tcW w:w="9136" w:type="dxa"/>
            <w:tcBorders/>
            <w:vAlign w:val="center"/>
          </w:tcPr>
          <w:p>
            <w:pPr>
              <w:pStyle w:val="TableContents"/>
              <w:bidi w:val="0"/>
              <w:spacing w:before="0" w:after="283"/>
              <w:jc w:val="both"/>
              <w:rPr>
                <w:b/>
                <w:i/>
              </w:rPr>
            </w:pPr>
            <w:r>
              <w:rPr>
                <w:b/>
                <w:i/>
              </w:rPr>
              <w:t>Income taxes (expenses)/benefit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The ASU requires the annual financial statements to include consistent categories and greater disaggregation of information in the rate reconciliation, and income taxes paid disaggregated by jurisdiction. ASU 2023-09 is effective for public business entities for annual periods beginning after December 15, 2024, and interim periods within those annual periods; early adoption is permitted. Adoption is either with a prospective method or a fully retrospective method of transition. The Group adopted ASU 2023-09 on April 1, 2025, using the retrospective method. (See Note 12).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records uncertain tax positions in accordance with ASC 740, Income Taxes, on the basis of a two-step process in which (1) the Group determines whether it is more likely than not that the tax positions will be sustained on the basis of the technical merits of the position and (2) for those tax positions that meet the more-likely-than-not recognition threshold, the Group recognizes the largest amount of tax benefit that is more than 50 percent likely to be realized upon ultimate settlement with the related tax authority. Penalties and interest incurred related to underpayment of income tax are classified as income tax expense in the period incurred. The Group records interest and penalties related to unrecognized tax benefits on the income tax expense line in the accompanying consolidated statements of operations. Accrued interest and penalties are included on the related tax liabilities line in the consolidated balance sheets. The Group does not believe that there were any uncertain tax positions as of March 31, 2026 and 2025,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operating subsidiary in mainland China is subject to examination by the relevant PRC tax authorities. 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where the underpayment of taxes is more than RMB100 ($15). In the case of transfer pricing issues, the statute of limitation is ten years. There is no statute of limitation in the case of tax evasion.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operating subsidiary in Hong Kong are subject to examination by the Hong Kong Inland Revenue Department (the “HKIRD”) if the HKIRD has doubts regarding the source of income, the completeness and accuracy of the tax returns filed by the taxpayers. According to the Inland Revenue Ordinance, the taxpayers are required to keep sufficient records of income and expenditure for a period of not less than seven years to enable the assessable profits to be readily ascertained.</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7"/>
        <w:gridCol w:w="1222"/>
        <w:gridCol w:w="8756"/>
      </w:tblGrid>
      <w:tr>
        <w:trPr/>
        <w:tc>
          <w:tcPr>
            <w:tcW w:w="22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b/>
                <w:i/>
              </w:rPr>
            </w:pPr>
            <w:r>
              <w:rPr>
                <w:b/>
                <w:i/>
              </w:rPr>
              <w:t>(w)</w:t>
            </w:r>
          </w:p>
        </w:tc>
        <w:tc>
          <w:tcPr>
            <w:tcW w:w="8756" w:type="dxa"/>
            <w:tcBorders/>
            <w:vAlign w:val="center"/>
          </w:tcPr>
          <w:p>
            <w:pPr>
              <w:pStyle w:val="TableContents"/>
              <w:bidi w:val="0"/>
              <w:spacing w:before="0" w:after="283"/>
              <w:jc w:val="both"/>
              <w:rPr>
                <w:b/>
                <w:i/>
              </w:rPr>
            </w:pPr>
            <w:r>
              <w:rPr>
                <w:b/>
                <w:i/>
              </w:rPr>
              <w:t>Value added tax (“VAT”)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revenue represents the invoiced value of goods, net of VAT. The Group is subject to VAT and related surcharges on revenue generated from sales of products. The Group records revenue net of VAT. Entities that are VAT general taxpayers are allowed to offset qualified input VAT, paid to suppliers against their output VAT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VAT is based on gross sales price. The mainland China VAT rate is 13% for taxpayers selling consumer products. The primary applicable rate of the Netherlands VAT is 21% for the years ended March 31, 2026, 2025 and 2024 and no VAT tax in Hong Kong.</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4"/>
        <w:gridCol w:w="1385"/>
        <w:gridCol w:w="8526"/>
      </w:tblGrid>
      <w:tr>
        <w:trPr/>
        <w:tc>
          <w:tcPr>
            <w:tcW w:w="29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b/>
                <w:i/>
              </w:rPr>
            </w:pPr>
            <w:r>
              <w:rPr>
                <w:b/>
                <w:i/>
              </w:rPr>
              <w:t>(x)</w:t>
            </w:r>
          </w:p>
        </w:tc>
        <w:tc>
          <w:tcPr>
            <w:tcW w:w="8526" w:type="dxa"/>
            <w:tcBorders/>
            <w:vAlign w:val="center"/>
          </w:tcPr>
          <w:p>
            <w:pPr>
              <w:pStyle w:val="TableContents"/>
              <w:bidi w:val="0"/>
              <w:spacing w:before="0" w:after="283"/>
              <w:jc w:val="both"/>
              <w:rPr>
                <w:b/>
                <w:i/>
              </w:rPr>
            </w:pPr>
            <w:r>
              <w:rPr>
                <w:b/>
                <w:i/>
              </w:rPr>
              <w:t>Segment Reporting</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segment is a component of the Group that engages in business activities from which it may earn revenue and incur expenses, and is identified on the basis of the internal financial reports that are provided to and regularly reviewed by the Group’s chief operating decision maker (the “CODM”) in order to allocate resources and assess the performance of the segment.</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 Segment Reporting, operating segments are defined as components of an enterprise about which separate financial information is available that is evaluated regularly by the CODM or decision-making group, in deciding how to allocate resources and in assessing performance.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Management, including the CODM, reviews operating results by the revenue of different services. Based on management’s assessment, the Group has determined that it has one operating segment as defined by ASC 280 (see Note 15).</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concluded that consolidated net loss is the measure of segment profitability. The CODM assesses performance for the Group, monitors budget versus actual results and determines how to allocate resources based on consolidated net income as reported in the consolidated statements of operations and comprehensive loss. There is no other expense categories regularly provided to the CODM that are not already included in the primary financial statements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expanded its segment disclosures by providing additional information on long-lived assets by geographic region during the fiscal year 2026 in Note 15. When the measurement of a segment significantly changes or additional disclosure dimensions are introduced, prior period amounts and balances are reclassified to conform to the current period’s presentation to ensure comparability. It does not impact any previously reported results of operations or financial position.</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6"/>
        <w:gridCol w:w="1644"/>
        <w:gridCol w:w="8195"/>
      </w:tblGrid>
      <w:tr>
        <w:trPr/>
        <w:tc>
          <w:tcPr>
            <w:tcW w:w="36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b/>
                <w:i/>
              </w:rPr>
            </w:pPr>
            <w:r>
              <w:rPr>
                <w:b/>
                <w:i/>
              </w:rPr>
              <w:t>(y)</w:t>
            </w:r>
          </w:p>
        </w:tc>
        <w:tc>
          <w:tcPr>
            <w:tcW w:w="8195" w:type="dxa"/>
            <w:tcBorders/>
            <w:vAlign w:val="center"/>
          </w:tcPr>
          <w:p>
            <w:pPr>
              <w:pStyle w:val="TableContents"/>
              <w:bidi w:val="0"/>
              <w:spacing w:before="0" w:after="283"/>
              <w:jc w:val="both"/>
              <w:rPr>
                <w:b/>
                <w:i/>
              </w:rPr>
            </w:pPr>
            <w:r>
              <w:rPr>
                <w:b/>
                <w:i/>
              </w:rPr>
              <w:t>Loss per share</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computes earnings per share (“EPS”) in accordance with ASC 260, “Earnings per Share” (“ASC 260”). ASC 260 requires companies with complex capital structures to present basic and diluted EPS. Basic EPS are computed by dividing income available to shareholders of the Group by the weighted average Ordinary Shares outstanding during the period. Diluted EPS take into account the potential dilution that could occur if securities or other contracts to issue Ordinary Shares were exercised and converted into Ordinary Shares. As of March 31, 2026 and 2025, there were no dilutive shares.</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0"/>
        <w:gridCol w:w="1239"/>
        <w:gridCol w:w="8676"/>
      </w:tblGrid>
      <w:tr>
        <w:trPr/>
        <w:tc>
          <w:tcPr>
            <w:tcW w:w="29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b/>
                <w:i/>
              </w:rPr>
            </w:pPr>
            <w:r>
              <w:rPr>
                <w:b/>
                <w:i/>
              </w:rPr>
              <w:t>(z)</w:t>
            </w:r>
          </w:p>
        </w:tc>
        <w:tc>
          <w:tcPr>
            <w:tcW w:w="8676" w:type="dxa"/>
            <w:tcBorders/>
            <w:vAlign w:val="center"/>
          </w:tcPr>
          <w:p>
            <w:pPr>
              <w:pStyle w:val="TableContents"/>
              <w:bidi w:val="0"/>
              <w:spacing w:before="0" w:after="283"/>
              <w:jc w:val="both"/>
              <w:rPr>
                <w:b/>
                <w:i/>
              </w:rPr>
            </w:pPr>
            <w:r>
              <w:rPr>
                <w:b/>
                <w:i/>
              </w:rPr>
              <w:t>Comprehensive loss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income/(loss). The foreign currency translation adjustment resulting from translation of the consolidated financial statements expressed in RMB and other foreign currencies to US$ is reported in other comprehensive loss in the consolidated statements of operations and comprehensive loss.</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294"/>
        <w:gridCol w:w="8711"/>
      </w:tblGrid>
      <w:tr>
        <w:trPr/>
        <w:tc>
          <w:tcPr>
            <w:tcW w:w="20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b/>
                <w:i/>
              </w:rPr>
            </w:pPr>
            <w:r>
              <w:rPr>
                <w:b/>
                <w:i/>
              </w:rPr>
              <w:t>(aa)</w:t>
            </w:r>
          </w:p>
        </w:tc>
        <w:tc>
          <w:tcPr>
            <w:tcW w:w="8711" w:type="dxa"/>
            <w:tcBorders/>
            <w:vAlign w:val="center"/>
          </w:tcPr>
          <w:p>
            <w:pPr>
              <w:pStyle w:val="TableContents"/>
              <w:bidi w:val="0"/>
              <w:spacing w:before="0" w:after="283"/>
              <w:jc w:val="both"/>
              <w:rPr>
                <w:b/>
                <w:i/>
              </w:rPr>
            </w:pPr>
            <w:r>
              <w:rPr>
                <w:b/>
                <w:i/>
              </w:rPr>
              <w:t>Concentration and credit risk</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Group to significant concentration of credit risk consist primarily of cash, restricted cash and accounts receivable. As of March 31, 2026, and 2025, the aggregate amounts of cash and restricted cash of $1,219,148 and $691,695, respectively, were held at major financial institutions located in mainland China, and the aggregate amounts of cash and restricted cash of $2,884,957 and $3,002,761, respectively, were deposited with major financial institutions located outside mainland China. Management believes that these financial institutions are of high credit quality and continually monitors the credit worthiness of these financial institutions.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credit risk associated with its trading and other activities is measured on an individual counterparty basis, as well as by a group of counterparties that share similar attributes. Substantially all of the Group’s sales are made to customers that are located primarily in Europe, Asia and the Americas. The Group’s operating results could be adversely affected by government policies on exporting businesses, foreign exchange rate fluctuations, and local market condition changes.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two customers who accounted for approximately 16.4% and 10.1% of total revenue for the year ended March 31, 2026, respectively. There were three customers who accounted for approximately 14.5%, 11.9% and 10.4% of total revenue for the year ended March 31, 2025, respectively. There were two customers who accounted for approximately 17.4% and 12.7% of total revenue for the year ended March 31, 2024, respectively.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one customer who accounted for approximately 16.2% of the accounts receivable balance as of March 31, 2026. There were two customers who accounted for approximately 12.3% and 10.6% of the accounts receivable balance as of March 31, 2025,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single supplier that accounted for over 10% of the Company’s total purchases for the years ended March 31,2025 and 2026. There was one supplier who accounted for 12.1% of the Company’s total purchases for the year ended March 31,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one supplier who accounted for approximately 10.9% of the accounts payable balance as of March 31, 2026. There was one supplier who accounted for approximately 12.2% of the accounts payable balance as of March 31, 2025.</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5"/>
        <w:gridCol w:w="3145"/>
        <w:gridCol w:w="6575"/>
      </w:tblGrid>
      <w:tr>
        <w:trPr/>
        <w:tc>
          <w:tcPr>
            <w:tcW w:w="485"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b/>
                <w:i/>
              </w:rPr>
            </w:pPr>
            <w:r>
              <w:rPr>
                <w:b/>
                <w:i/>
              </w:rPr>
              <w:t>(bb)</w:t>
            </w:r>
          </w:p>
        </w:tc>
        <w:tc>
          <w:tcPr>
            <w:tcW w:w="6575" w:type="dxa"/>
            <w:tcBorders/>
            <w:vAlign w:val="center"/>
          </w:tcPr>
          <w:p>
            <w:pPr>
              <w:pStyle w:val="TableContents"/>
              <w:bidi w:val="0"/>
              <w:spacing w:before="0" w:after="283"/>
              <w:jc w:val="both"/>
              <w:rPr>
                <w:b/>
                <w:i/>
              </w:rPr>
            </w:pPr>
            <w:r>
              <w:rPr>
                <w:b/>
                <w:i/>
              </w:rPr>
              <w:t>Warrant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warrants as either equity-classified or liability-classified instruments based on an assessment of the warrant’s specific terms and applicable authoritative guidance in Financial Accounting Standards Board (“FASB”) Accounting Standards Codification (“ASC”), “Distinguishing Liabilities from Equity” (“ASC 480”) and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and is performed at the time of warrant issuance and, when applicable, at each subsequent reporting date while the warrants remain outstanding.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warrants that meet all of the criteria for equity classification, the warrants are required to be recorded as a component of equity at the time of issuance. For issued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During the year ended March 31, 2026, the Group issued warrants that met the criteria for equity classification. Such warrants were subsequently exercised in full during the year ended March 31, 2026. (See Note 14)</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133"/>
        <w:gridCol w:w="8885"/>
      </w:tblGrid>
      <w:tr>
        <w:trPr/>
        <w:tc>
          <w:tcPr>
            <w:tcW w:w="18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b/>
                <w:i/>
              </w:rPr>
            </w:pPr>
            <w:r>
              <w:rPr>
                <w:b/>
                <w:i/>
              </w:rPr>
              <w:t>(cc)</w:t>
            </w:r>
          </w:p>
        </w:tc>
        <w:tc>
          <w:tcPr>
            <w:tcW w:w="8885" w:type="dxa"/>
            <w:tcBorders/>
            <w:vAlign w:val="center"/>
          </w:tcPr>
          <w:p>
            <w:pPr>
              <w:pStyle w:val="TableContents"/>
              <w:bidi w:val="0"/>
              <w:spacing w:before="0" w:after="283"/>
              <w:jc w:val="both"/>
              <w:rPr>
                <w:b/>
                <w:i/>
              </w:rPr>
            </w:pPr>
            <w:r>
              <w:rPr>
                <w:b/>
                <w:i/>
              </w:rPr>
              <w:t>Related parties and transactions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identifies related parties, and accounts for, discloses related party transactions in accordance with ASC 850, “Related Party Disclosures” and other relevant ASC standards.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which can be a corporation or individual, are considered to be related if the Group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between related parties commonly occurring in the normal course of business are considered to be related party transactions. Transactions between related parties are also considered to be related party transactions even though they may not be given accounting recognition. While ASC does not provide accounting or measurement guidance for such transactions, it nonetheless requires their disclosure.</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0"/>
        <w:gridCol w:w="1557"/>
        <w:gridCol w:w="8408"/>
      </w:tblGrid>
      <w:tr>
        <w:trPr/>
        <w:tc>
          <w:tcPr>
            <w:tcW w:w="24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b/>
                <w:i/>
              </w:rPr>
            </w:pPr>
            <w:r>
              <w:rPr>
                <w:b/>
                <w:i/>
              </w:rPr>
              <w:t>(dd)</w:t>
            </w:r>
          </w:p>
        </w:tc>
        <w:tc>
          <w:tcPr>
            <w:tcW w:w="8408" w:type="dxa"/>
            <w:tcBorders/>
            <w:vAlign w:val="center"/>
          </w:tcPr>
          <w:p>
            <w:pPr>
              <w:pStyle w:val="TableContents"/>
              <w:bidi w:val="0"/>
              <w:spacing w:before="0" w:after="283"/>
              <w:jc w:val="both"/>
              <w:rPr>
                <w:b/>
                <w:i/>
              </w:rPr>
            </w:pPr>
            <w:r>
              <w:rPr>
                <w:b/>
                <w:i/>
              </w:rPr>
              <w:t>Risks and uncertainties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substantial operations in China through its PRC subsidiaries. Accordingly, the Group’s business, financial condition, and results of operations may be influenced by political, economic, and legal environments in the PRC, as well as by the general state of the PRC economy. The Group’s results may be adversely affected by changes in the political, regulatory and social conditions in the PRC. Although the Group has not experienced losses from these situations and believes that it is in compliance with existing laws and regulations including its organization and structure disclosed in Note 1, this may not be indicative of future results.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business, financial condition and results of operations may also be negatively impacted by risks related to regional wars, geopolitical tensions, natural disasters, extreme weather conditions, health epidemics and other catastrophic incidents, which could potentially and significantly disrupt the Group’s operations.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021"/>
        <w:gridCol w:w="9015"/>
      </w:tblGrid>
      <w:tr>
        <w:trPr/>
        <w:tc>
          <w:tcPr>
            <w:tcW w:w="16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b/>
                <w:i/>
              </w:rPr>
            </w:pPr>
            <w:r>
              <w:rPr>
                <w:b/>
                <w:i/>
              </w:rPr>
              <w:t>(ee)</w:t>
            </w:r>
          </w:p>
        </w:tc>
        <w:tc>
          <w:tcPr>
            <w:tcW w:w="9015" w:type="dxa"/>
            <w:tcBorders/>
            <w:vAlign w:val="center"/>
          </w:tcPr>
          <w:p>
            <w:pPr>
              <w:pStyle w:val="TableContents"/>
              <w:bidi w:val="0"/>
              <w:spacing w:before="0" w:after="283"/>
              <w:jc w:val="both"/>
              <w:rPr>
                <w:b/>
                <w:i/>
              </w:rPr>
            </w:pPr>
            <w:r>
              <w:rPr>
                <w:b/>
                <w:i/>
              </w:rPr>
              <w:t>Recent accounting pronouncements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Recently issued accounting pronouncements not yet adopted</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Codification Amendments in Response to the SEC’s Disclosure Update and Simplification Initiative.” This ASU incorporates certain SEC disclosure requirements into the FASB Accounting Standards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will not become effective for any entity. The Group does not expect the adoption of ASU 2023-06 to have a material impact on its consolidated financial statements.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the Company’s annual reporting for the fiscal year ended March 31, 2028 and for interim period reporting beginning in the fiscal year ended March 31, 2029 on a prospective basis. Both early adoption and retrospective application are permitted. The Group is currently evaluating the impact that the adoption of these standards will have on its consolidated financial statements and disclosures.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Accounting for Government Grants Received by Business Entities, which establishes consistent recognition and measurement guidance for government grants received by business entities. The ASU requires recognition only when it is probable that grant conditions will be met and the grant will be received, and provides a choice between a deferred income approach or a cost accumulation approach for asset-related grants. For public business entities, the ASU is effective for fiscal years beginning after December 15, 2028, and for all other entities for fiscal years beginning after December 15, 2029. Early adoption is permitted. The Group is currently evaluating the impact of adoption on its financial statements and disclosures.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This update clarifies interim disclosure requirements and the applicability of Topic 270, including a comprehensive list of required interim disclosures and a principle to disclose material post-year-end events in interim reports. It also clarifies the types, form, and content of interim financial statements to improve consistency. ASU 2025-11 is effective for public business entities for interim periods in fiscal years beginning after December 15, 2027, and for all other entities for interim periods in fiscal years beginning after December 15, 2028. Early adoption is permitted, and entities can apply the guidance either prospectively or retrospectively. The Group is currently evaluating the impact of adopting this standard on its financial statements and disclosures.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“Codification Improvements.” The amendments in this Update represent changes to clarify the Codification or correct unintended application of guidance and apply to all reporting entities within the scope of the affected accounting guidance. These amendments are effective for annual reporting periods beginning after December 15, 2026, and interim reporting periods within those annual reporting periods. Early adoption is permitted. The Group is in the process of evaluating the impact of adopting this new guidance on its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The Group does not discuss recent pronouncements that are not anticipated to have an impact on, or are unrelated to, its consolidated financial condition, results of operations, cash flows or disclosures.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676"/>
        <w:gridCol w:w="9329"/>
      </w:tblGrid>
      <w:tr>
        <w:trPr/>
        <w:tc>
          <w:tcPr>
            <w:tcW w:w="20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b/>
              </w:rPr>
            </w:pPr>
            <w:r>
              <w:rPr>
                <w:b/>
              </w:rPr>
              <w:t>4.</w:t>
            </w:r>
          </w:p>
        </w:tc>
        <w:tc>
          <w:tcPr>
            <w:tcW w:w="9329" w:type="dxa"/>
            <w:tcBorders/>
            <w:vAlign w:val="center"/>
          </w:tcPr>
          <w:p>
            <w:pPr>
              <w:pStyle w:val="TableContents"/>
              <w:bidi w:val="0"/>
              <w:spacing w:before="0" w:after="283"/>
              <w:jc w:val="both"/>
              <w:rPr>
                <w:b/>
              </w:rPr>
            </w:pPr>
            <w:r>
              <w:rPr>
                <w:b/>
              </w:rPr>
              <w:t>ACCOUNTS RECEIVABLE</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amounted to $2,831,064 and $2,495,301 as of March 31, 2026 and 2025, respectively. There was no allowance for credit losses recorded for both years as all of the accounts receivable balance as of March 31,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99.5% or $2,817,504 of the March 31, 2026 accounts receivable balance has been subsequently collected as of the date the Group’s consolidated financial statements are released. The following table summarizes the Company’s outstanding accounts receivable and subsequent collection by aging bucket:</w:t>
      </w:r>
    </w:p>
    <w:p>
      <w:pPr>
        <w:pStyle w:val="TextBody"/>
        <w:bidi w:val="0"/>
        <w:spacing w:before="0" w:after="0"/>
        <w:ind w:left="360" w:right="0" w:hanging="0"/>
        <w:jc w:val="both"/>
        <w:rPr>
          <w:caps w:val="false"/>
          <w:smallCaps w:val="false"/>
        </w:rPr>
      </w:pPr>
      <w:r>
        <w:rPr>
          <w:caps w:val="false"/>
          <w:smallCaps w:val="false"/>
        </w:rPr>
        <w:t> </w:t>
      </w:r>
    </w:p>
    <w:tbl>
      <w:tblPr>
        <w:tblW w:w="8204" w:type="dxa"/>
        <w:jc w:val="left"/>
        <w:tblInd w:w="0" w:type="dxa"/>
        <w:tblLayout w:type="fixed"/>
        <w:tblCellMar>
          <w:top w:w="0" w:type="dxa"/>
          <w:left w:w="0" w:type="dxa"/>
          <w:bottom w:w="28" w:type="dxa"/>
          <w:right w:w="0" w:type="dxa"/>
        </w:tblCellMar>
      </w:tblPr>
      <w:tblGrid>
        <w:gridCol w:w="3770"/>
        <w:gridCol w:w="90"/>
        <w:gridCol w:w="199"/>
        <w:gridCol w:w="1186"/>
        <w:gridCol w:w="90"/>
        <w:gridCol w:w="90"/>
        <w:gridCol w:w="170"/>
        <w:gridCol w:w="1010"/>
        <w:gridCol w:w="90"/>
        <w:gridCol w:w="90"/>
        <w:gridCol w:w="174"/>
        <w:gridCol w:w="910"/>
        <w:gridCol w:w="335"/>
      </w:tblGrid>
      <w:tr>
        <w:trPr/>
        <w:tc>
          <w:tcPr>
            <w:tcW w:w="3770" w:type="dxa"/>
            <w:tcBorders>
              <w:bottom w:val="single" w:sz="12" w:space="0" w:color="000000"/>
            </w:tcBorders>
            <w:vAlign w:val="center"/>
          </w:tcPr>
          <w:p>
            <w:pPr>
              <w:pStyle w:val="TableContents"/>
              <w:bidi w:val="0"/>
              <w:spacing w:before="0" w:after="283"/>
              <w:jc w:val="left"/>
              <w:rPr>
                <w:b/>
              </w:rPr>
            </w:pPr>
            <w:r>
              <w:rPr>
                <w:b/>
              </w:rPr>
              <w:t>Accounts receivable by aging bucket</w:t>
            </w:r>
          </w:p>
        </w:tc>
        <w:tc>
          <w:tcPr>
            <w:tcW w:w="9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12" w:space="0" w:color="000000"/>
            </w:tcBorders>
            <w:vAlign w:val="center"/>
          </w:tcPr>
          <w:p>
            <w:pPr>
              <w:pStyle w:val="TableContents"/>
              <w:bidi w:val="0"/>
              <w:spacing w:before="0" w:after="283"/>
              <w:jc w:val="center"/>
              <w:rPr>
                <w:b/>
              </w:rPr>
            </w:pPr>
            <w:r>
              <w:rPr>
                <w:b/>
              </w:rPr>
              <w:t>Balance as of</w:t>
              <w:b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Subsequent</w:t>
              <w:br/>
              <w:t>collection </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 </w:t>
            </w:r>
            <w:r>
              <w:rPr>
                <w:rFonts w:ascii="Times New Roman;Times;Serif" w:hAnsi="Times New Roman;Times;Serif"/>
                <w:b/>
                <w:sz w:val="20"/>
              </w:rPr>
              <w:t>of</w:t>
              <w:br/>
              <w:t>subsequent</w:t>
              <w:br/>
              <w:t>collection</w:t>
            </w:r>
            <w:r>
              <w:rPr>
                <w:rFonts w:ascii="Times New Roman;Times;Serif" w:hAnsi="Times New Roman;Times;Serif"/>
                <w:b/>
                <w:position w:val="7"/>
                <w:sz w:val="16"/>
                <w:sz w:val="20"/>
              </w:rPr>
              <w:t>(1)</w:t>
            </w:r>
          </w:p>
        </w:tc>
        <w:tc>
          <w:tcPr>
            <w:tcW w:w="335" w:type="dxa"/>
            <w:tcBorders/>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Overdue but within 1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186" w:type="dxa"/>
            <w:tcBorders/>
            <w:shd w:fill="CCEEFF" w:val="clear"/>
            <w:tcMar>
              <w:bottom w:w="0" w:type="dxa"/>
            </w:tcMar>
            <w:vAlign w:val="center"/>
          </w:tcPr>
          <w:p>
            <w:pPr>
              <w:pStyle w:val="TableContents"/>
              <w:bidi w:val="0"/>
              <w:spacing w:before="0" w:after="283"/>
              <w:jc w:val="right"/>
              <w:rPr/>
            </w:pPr>
            <w:r>
              <w:rPr/>
              <w:t>486,928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485,652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10" w:type="dxa"/>
            <w:tcBorders/>
            <w:shd w:fill="CCEEFF" w:val="clear"/>
            <w:tcMar>
              <w:bottom w:w="0" w:type="dxa"/>
            </w:tcMar>
            <w:vAlign w:val="center"/>
          </w:tcPr>
          <w:p>
            <w:pPr>
              <w:pStyle w:val="TableContents"/>
              <w:bidi w:val="0"/>
              <w:spacing w:before="0" w:after="283"/>
              <w:jc w:val="right"/>
              <w:rPr/>
            </w:pPr>
            <w:r>
              <w:rPr/>
              <w:t>99.7</w:t>
            </w:r>
          </w:p>
        </w:tc>
        <w:tc>
          <w:tcPr>
            <w:tcW w:w="335" w:type="dxa"/>
            <w:tcBorders/>
            <w:shd w:fill="CCEEFF" w:val="clear"/>
            <w:tcMar>
              <w:bottom w:w="0" w:type="dxa"/>
            </w:tcMar>
            <w:vAlign w:val="center"/>
          </w:tcPr>
          <w:p>
            <w:pPr>
              <w:pStyle w:val="TableContents"/>
              <w:bidi w:val="0"/>
              <w:spacing w:before="0" w:after="283"/>
              <w:jc w:val="left"/>
              <w:rPr/>
            </w:pPr>
            <w:r>
              <w:rPr/>
              <w:t>%</w:t>
            </w:r>
          </w:p>
        </w:tc>
      </w:tr>
      <w:tr>
        <w:trPr/>
        <w:tc>
          <w:tcPr>
            <w:tcW w:w="3770" w:type="dxa"/>
            <w:tcBorders/>
            <w:tcMar>
              <w:bottom w:w="0" w:type="dxa"/>
            </w:tcMar>
            <w:vAlign w:val="center"/>
          </w:tcPr>
          <w:p>
            <w:pPr>
              <w:pStyle w:val="TableContents"/>
              <w:bidi w:val="0"/>
              <w:spacing w:before="0" w:after="283"/>
              <w:jc w:val="left"/>
              <w:rPr/>
            </w:pPr>
            <w:r>
              <w:rPr/>
              <w:t>Not yet due</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vAlign w:val="center"/>
          </w:tcPr>
          <w:p>
            <w:pPr>
              <w:pStyle w:val="TableContents"/>
              <w:bidi w:val="0"/>
              <w:spacing w:before="0" w:after="283"/>
              <w:jc w:val="left"/>
              <w:rPr/>
            </w:pPr>
            <w:r>
              <w:rPr/>
              <w:t> </w:t>
            </w:r>
          </w:p>
        </w:tc>
        <w:tc>
          <w:tcPr>
            <w:tcW w:w="1186" w:type="dxa"/>
            <w:tcBorders>
              <w:bottom w:val="single" w:sz="12" w:space="0" w:color="000000"/>
            </w:tcBorders>
            <w:vAlign w:val="center"/>
          </w:tcPr>
          <w:p>
            <w:pPr>
              <w:pStyle w:val="TableContents"/>
              <w:bidi w:val="0"/>
              <w:spacing w:before="0" w:after="283"/>
              <w:jc w:val="right"/>
              <w:rPr/>
            </w:pPr>
            <w:r>
              <w:rPr/>
              <w:t>2,344,136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2,331,852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vAlign w:val="center"/>
          </w:tcPr>
          <w:p>
            <w:pPr>
              <w:pStyle w:val="TableContents"/>
              <w:bidi w:val="0"/>
              <w:spacing w:before="0" w:after="283"/>
              <w:jc w:val="left"/>
              <w:rPr/>
            </w:pPr>
            <w:r>
              <w:rPr/>
              <w:t> </w:t>
            </w:r>
          </w:p>
        </w:tc>
        <w:tc>
          <w:tcPr>
            <w:tcW w:w="910" w:type="dxa"/>
            <w:tcBorders>
              <w:bottom w:val="single" w:sz="12" w:space="0" w:color="000000"/>
            </w:tcBorders>
            <w:vAlign w:val="center"/>
          </w:tcPr>
          <w:p>
            <w:pPr>
              <w:pStyle w:val="TableContents"/>
              <w:bidi w:val="0"/>
              <w:spacing w:before="0" w:after="283"/>
              <w:jc w:val="right"/>
              <w:rPr/>
            </w:pPr>
            <w:r>
              <w:rPr/>
              <w:t>99.5</w:t>
            </w:r>
          </w:p>
        </w:tc>
        <w:tc>
          <w:tcPr>
            <w:tcW w:w="335" w:type="dxa"/>
            <w:tcBorders/>
            <w:tcMar>
              <w:bottom w:w="0" w:type="dxa"/>
            </w:tcMar>
            <w:vAlign w:val="center"/>
          </w:tcPr>
          <w:p>
            <w:pPr>
              <w:pStyle w:val="TableContents"/>
              <w:bidi w:val="0"/>
              <w:spacing w:before="0" w:after="283"/>
              <w:jc w:val="left"/>
              <w:rPr/>
            </w:pPr>
            <w:r>
              <w:rPr/>
              <w:t>%</w:t>
            </w:r>
          </w:p>
        </w:tc>
      </w:tr>
      <w:tr>
        <w:trPr/>
        <w:tc>
          <w:tcPr>
            <w:tcW w:w="3770" w:type="dxa"/>
            <w:tcBorders/>
            <w:shd w:fill="CCEEFF" w:val="clear"/>
            <w:tcMar>
              <w:bottom w:w="0" w:type="dxa"/>
            </w:tcMar>
            <w:vAlign w:val="center"/>
          </w:tcPr>
          <w:p>
            <w:pPr>
              <w:pStyle w:val="TableContents"/>
              <w:bidi w:val="0"/>
              <w:spacing w:before="0" w:after="283"/>
              <w:jc w:val="left"/>
              <w:rPr/>
            </w:pPr>
            <w:r>
              <w:rPr/>
              <w:t>Total gross accounts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2,831,064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2,817,504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10" w:type="dxa"/>
            <w:tcBorders/>
            <w:shd w:fill="CCEEFF" w:val="clear"/>
            <w:tcMar>
              <w:bottom w:w="0" w:type="dxa"/>
            </w:tcMar>
            <w:vAlign w:val="center"/>
          </w:tcPr>
          <w:p>
            <w:pPr>
              <w:pStyle w:val="TableContents"/>
              <w:bidi w:val="0"/>
              <w:spacing w:before="0" w:after="283"/>
              <w:jc w:val="right"/>
              <w:rPr/>
            </w:pPr>
            <w:r>
              <w:rPr/>
              <w:t>99.5</w:t>
            </w:r>
          </w:p>
        </w:tc>
        <w:tc>
          <w:tcPr>
            <w:tcW w:w="335" w:type="dxa"/>
            <w:tcBorders/>
            <w:shd w:fill="CCEEFF" w:val="clear"/>
            <w:tcMar>
              <w:bottom w:w="0" w:type="dxa"/>
            </w:tcMar>
            <w:vAlign w:val="center"/>
          </w:tcPr>
          <w:p>
            <w:pPr>
              <w:pStyle w:val="TableContents"/>
              <w:bidi w:val="0"/>
              <w:spacing w:before="0" w:after="283"/>
              <w:jc w:val="left"/>
              <w:rPr/>
            </w:pPr>
            <w:r>
              <w:rPr/>
              <w:t>%</w:t>
            </w:r>
          </w:p>
        </w:tc>
      </w:tr>
      <w:tr>
        <w:trPr/>
        <w:tc>
          <w:tcPr>
            <w:tcW w:w="3770" w:type="dxa"/>
            <w:tcBorders/>
            <w:tcMar>
              <w:bottom w:w="0" w:type="dxa"/>
            </w:tcMar>
            <w:vAlign w:val="center"/>
          </w:tcPr>
          <w:p>
            <w:pPr>
              <w:pStyle w:val="TableContents"/>
              <w:bidi w:val="0"/>
              <w:spacing w:before="0" w:after="283"/>
              <w:jc w:val="left"/>
              <w:rPr/>
            </w:pPr>
            <w:r>
              <w:rPr/>
              <w:t>Allowance for credit losses</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vAlign w:val="center"/>
          </w:tcPr>
          <w:p>
            <w:pPr>
              <w:pStyle w:val="TableContents"/>
              <w:bidi w:val="0"/>
              <w:spacing w:before="0" w:after="283"/>
              <w:jc w:val="left"/>
              <w:rPr/>
            </w:pPr>
            <w:r>
              <w:rPr/>
              <w:t> </w:t>
            </w:r>
          </w:p>
        </w:tc>
        <w:tc>
          <w:tcPr>
            <w:tcW w:w="1186" w:type="dxa"/>
            <w:tcBorders>
              <w:bottom w:val="single" w:sz="12"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vAlign w:val="center"/>
          </w:tcPr>
          <w:p>
            <w:pPr>
              <w:pStyle w:val="TableContents"/>
              <w:bidi w:val="0"/>
              <w:spacing w:before="0" w:after="283"/>
              <w:jc w:val="left"/>
              <w:rPr/>
            </w:pPr>
            <w:r>
              <w:rPr/>
              <w:t> </w:t>
            </w:r>
          </w:p>
        </w:tc>
        <w:tc>
          <w:tcPr>
            <w:tcW w:w="910" w:type="dxa"/>
            <w:tcBorders>
              <w:bottom w:val="single" w:sz="12" w:space="0" w:color="000000"/>
            </w:tcBorders>
            <w:vAlign w:val="center"/>
          </w:tcPr>
          <w:p>
            <w:pPr>
              <w:pStyle w:val="TableContents"/>
              <w:bidi w:val="0"/>
              <w:spacing w:before="0" w:after="0"/>
              <w:jc w:val="right"/>
              <w:rPr/>
            </w:pPr>
            <w:r>
              <w:rPr/>
              <w:t>-</w:t>
            </w:r>
          </w:p>
        </w:tc>
        <w:tc>
          <w:tcPr>
            <w:tcW w:w="335" w:type="dxa"/>
            <w:tcBorders/>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b/>
              </w:rPr>
            </w:pPr>
            <w:r>
              <w:rPr>
                <w:b/>
              </w:rPr>
              <w:t>Accounts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186" w:type="dxa"/>
            <w:tcBorders>
              <w:bottom w:val="double" w:sz="10" w:space="0" w:color="000000"/>
            </w:tcBorders>
            <w:shd w:fill="CCEEFF" w:val="clear"/>
            <w:vAlign w:val="center"/>
          </w:tcPr>
          <w:p>
            <w:pPr>
              <w:pStyle w:val="TableContents"/>
              <w:bidi w:val="0"/>
              <w:spacing w:before="0" w:after="283"/>
              <w:jc w:val="right"/>
              <w:rPr>
                <w:b/>
              </w:rPr>
            </w:pPr>
            <w:r>
              <w:rPr>
                <w:b/>
              </w:rPr>
              <w:t>2,831,064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vAlign w:val="center"/>
          </w:tcPr>
          <w:p>
            <w:pPr>
              <w:pStyle w:val="TableContents"/>
              <w:bidi w:val="0"/>
              <w:spacing w:before="0" w:after="283"/>
              <w:jc w:val="right"/>
              <w:rPr>
                <w:b/>
              </w:rPr>
            </w:pPr>
            <w:r>
              <w:rPr>
                <w:b/>
              </w:rPr>
              <w:t>2,817,504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double" w:sz="10" w:space="0" w:color="000000"/>
            </w:tcBorders>
            <w:shd w:fill="CCEEFF" w:val="clear"/>
            <w:vAlign w:val="center"/>
          </w:tcPr>
          <w:p>
            <w:pPr>
              <w:pStyle w:val="TableContents"/>
              <w:bidi w:val="0"/>
              <w:spacing w:before="0" w:after="283"/>
              <w:jc w:val="left"/>
              <w:rPr/>
            </w:pPr>
            <w:r>
              <w:rPr/>
              <w:t> </w:t>
            </w:r>
          </w:p>
        </w:tc>
        <w:tc>
          <w:tcPr>
            <w:tcW w:w="910" w:type="dxa"/>
            <w:tcBorders>
              <w:bottom w:val="double" w:sz="10" w:space="0" w:color="000000"/>
            </w:tcBorders>
            <w:shd w:fill="CCEEFF" w:val="clear"/>
            <w:vAlign w:val="center"/>
          </w:tcPr>
          <w:p>
            <w:pPr>
              <w:pStyle w:val="TableContents"/>
              <w:bidi w:val="0"/>
              <w:spacing w:before="0" w:after="283"/>
              <w:jc w:val="right"/>
              <w:rPr>
                <w:b/>
              </w:rPr>
            </w:pPr>
            <w:r>
              <w:rPr>
                <w:b/>
              </w:rPr>
              <w:t>99.5</w:t>
            </w:r>
          </w:p>
        </w:tc>
        <w:tc>
          <w:tcPr>
            <w:tcW w:w="33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360" w:right="0" w:hanging="0"/>
        <w:jc w:val="both"/>
        <w:rPr>
          <w:caps w:val="false"/>
          <w:smallCaps w:val="false"/>
        </w:rPr>
      </w:pPr>
      <w:r>
        <w:rPr>
          <w:caps w:val="false"/>
          <w:smallCaps w:val="false"/>
        </w:rPr>
        <w:t> </w:t>
      </w:r>
    </w:p>
    <w:tbl>
      <w:tblPr>
        <w:tblW w:w="8204" w:type="dxa"/>
        <w:jc w:val="left"/>
        <w:tblInd w:w="0" w:type="dxa"/>
        <w:tblLayout w:type="fixed"/>
        <w:tblCellMar>
          <w:top w:w="0" w:type="dxa"/>
          <w:left w:w="0" w:type="dxa"/>
          <w:bottom w:w="28" w:type="dxa"/>
          <w:right w:w="0" w:type="dxa"/>
        </w:tblCellMar>
      </w:tblPr>
      <w:tblGrid>
        <w:gridCol w:w="3770"/>
        <w:gridCol w:w="90"/>
        <w:gridCol w:w="199"/>
        <w:gridCol w:w="1186"/>
        <w:gridCol w:w="90"/>
        <w:gridCol w:w="90"/>
        <w:gridCol w:w="170"/>
        <w:gridCol w:w="1010"/>
        <w:gridCol w:w="90"/>
        <w:gridCol w:w="90"/>
        <w:gridCol w:w="142"/>
        <w:gridCol w:w="942"/>
        <w:gridCol w:w="335"/>
      </w:tblGrid>
      <w:tr>
        <w:trPr/>
        <w:tc>
          <w:tcPr>
            <w:tcW w:w="3770" w:type="dxa"/>
            <w:tcBorders>
              <w:bottom w:val="single" w:sz="12" w:space="0" w:color="000000"/>
            </w:tcBorders>
            <w:vAlign w:val="center"/>
          </w:tcPr>
          <w:p>
            <w:pPr>
              <w:pStyle w:val="TableContents"/>
              <w:bidi w:val="0"/>
              <w:spacing w:before="0" w:after="283"/>
              <w:jc w:val="left"/>
              <w:rPr>
                <w:b/>
              </w:rPr>
            </w:pPr>
            <w:r>
              <w:rPr>
                <w:b/>
              </w:rPr>
              <w:t>Accounts receivable by aging bucket</w:t>
            </w:r>
          </w:p>
        </w:tc>
        <w:tc>
          <w:tcPr>
            <w:tcW w:w="9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12" w:space="0" w:color="000000"/>
            </w:tcBorders>
            <w:vAlign w:val="center"/>
          </w:tcPr>
          <w:p>
            <w:pPr>
              <w:pStyle w:val="TableContents"/>
              <w:bidi w:val="0"/>
              <w:spacing w:before="0" w:after="283"/>
              <w:jc w:val="center"/>
              <w:rPr>
                <w:b/>
              </w:rPr>
            </w:pPr>
            <w:r>
              <w:rPr>
                <w:b/>
              </w:rPr>
              <w:t>Balance as of</w:t>
              <w:br/>
              <w:t>March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sz w:val="20"/>
              </w:rPr>
            </w:pPr>
            <w:r>
              <w:rPr>
                <w:b/>
                <w:sz w:val="20"/>
              </w:rPr>
              <w:t>Subsequent</w:t>
              <w:br/>
              <w:t>collection </w:t>
            </w:r>
            <w:r>
              <w:rPr>
                <w:b/>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sz w:val="20"/>
              </w:rPr>
            </w:pPr>
            <w:r>
              <w:rPr>
                <w:sz w:val="20"/>
              </w:rPr>
              <w:t xml:space="preserve">% </w:t>
            </w:r>
            <w:r>
              <w:rPr>
                <w:b/>
                <w:sz w:val="20"/>
              </w:rPr>
              <w:t>of</w:t>
              <w:br/>
              <w:t>subsequent</w:t>
              <w:br/>
              <w:t>collection</w:t>
            </w:r>
            <w:r>
              <w:rPr>
                <w:b/>
                <w:position w:val="7"/>
                <w:sz w:val="16"/>
                <w:sz w:val="20"/>
              </w:rPr>
              <w:t>(2)</w:t>
            </w:r>
          </w:p>
        </w:tc>
        <w:tc>
          <w:tcPr>
            <w:tcW w:w="335" w:type="dxa"/>
            <w:tcBorders/>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Overdue but within 1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186" w:type="dxa"/>
            <w:tcBorders/>
            <w:shd w:fill="CCEEFF" w:val="clear"/>
            <w:tcMar>
              <w:bottom w:w="0" w:type="dxa"/>
            </w:tcMar>
            <w:vAlign w:val="center"/>
          </w:tcPr>
          <w:p>
            <w:pPr>
              <w:pStyle w:val="TableContents"/>
              <w:bidi w:val="0"/>
              <w:spacing w:before="0" w:after="283"/>
              <w:jc w:val="right"/>
              <w:rPr/>
            </w:pPr>
            <w:r>
              <w:rPr/>
              <w:t>541,427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541,425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100.0</w:t>
            </w:r>
          </w:p>
        </w:tc>
        <w:tc>
          <w:tcPr>
            <w:tcW w:w="335" w:type="dxa"/>
            <w:tcBorders/>
            <w:shd w:fill="CCEEFF" w:val="clear"/>
            <w:tcMar>
              <w:bottom w:w="0" w:type="dxa"/>
            </w:tcMar>
            <w:vAlign w:val="center"/>
          </w:tcPr>
          <w:p>
            <w:pPr>
              <w:pStyle w:val="TableContents"/>
              <w:bidi w:val="0"/>
              <w:spacing w:before="0" w:after="283"/>
              <w:jc w:val="left"/>
              <w:rPr/>
            </w:pPr>
            <w:r>
              <w:rPr/>
              <w:t>%</w:t>
            </w:r>
          </w:p>
        </w:tc>
      </w:tr>
      <w:tr>
        <w:trPr/>
        <w:tc>
          <w:tcPr>
            <w:tcW w:w="3770" w:type="dxa"/>
            <w:tcBorders/>
            <w:tcMar>
              <w:bottom w:w="0" w:type="dxa"/>
            </w:tcMar>
            <w:vAlign w:val="center"/>
          </w:tcPr>
          <w:p>
            <w:pPr>
              <w:pStyle w:val="TableContents"/>
              <w:bidi w:val="0"/>
              <w:spacing w:before="0" w:after="283"/>
              <w:jc w:val="left"/>
              <w:rPr/>
            </w:pPr>
            <w:r>
              <w:rPr/>
              <w:t>Not yet due</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vAlign w:val="center"/>
          </w:tcPr>
          <w:p>
            <w:pPr>
              <w:pStyle w:val="TableContents"/>
              <w:bidi w:val="0"/>
              <w:spacing w:before="0" w:after="283"/>
              <w:jc w:val="left"/>
              <w:rPr/>
            </w:pPr>
            <w:r>
              <w:rPr/>
              <w:t> </w:t>
            </w:r>
          </w:p>
        </w:tc>
        <w:tc>
          <w:tcPr>
            <w:tcW w:w="1186" w:type="dxa"/>
            <w:tcBorders>
              <w:bottom w:val="single" w:sz="12" w:space="0" w:color="000000"/>
            </w:tcBorders>
            <w:vAlign w:val="center"/>
          </w:tcPr>
          <w:p>
            <w:pPr>
              <w:pStyle w:val="TableContents"/>
              <w:bidi w:val="0"/>
              <w:spacing w:before="0" w:after="283"/>
              <w:jc w:val="right"/>
              <w:rPr/>
            </w:pPr>
            <w:r>
              <w:rPr/>
              <w:t>1,953,874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1,953,876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vAlign w:val="center"/>
          </w:tcPr>
          <w:p>
            <w:pPr>
              <w:pStyle w:val="TableContents"/>
              <w:bidi w:val="0"/>
              <w:spacing w:before="0" w:after="283"/>
              <w:jc w:val="left"/>
              <w:rPr/>
            </w:pPr>
            <w:r>
              <w:rPr/>
              <w:t> </w:t>
            </w:r>
          </w:p>
        </w:tc>
        <w:tc>
          <w:tcPr>
            <w:tcW w:w="942" w:type="dxa"/>
            <w:tcBorders>
              <w:bottom w:val="single" w:sz="12" w:space="0" w:color="000000"/>
            </w:tcBorders>
            <w:vAlign w:val="center"/>
          </w:tcPr>
          <w:p>
            <w:pPr>
              <w:pStyle w:val="TableContents"/>
              <w:bidi w:val="0"/>
              <w:spacing w:before="0" w:after="283"/>
              <w:jc w:val="right"/>
              <w:rPr/>
            </w:pPr>
            <w:r>
              <w:rPr/>
              <w:t>100.0</w:t>
            </w:r>
          </w:p>
        </w:tc>
        <w:tc>
          <w:tcPr>
            <w:tcW w:w="335" w:type="dxa"/>
            <w:tcBorders/>
            <w:tcMar>
              <w:bottom w:w="0" w:type="dxa"/>
            </w:tcMar>
            <w:vAlign w:val="center"/>
          </w:tcPr>
          <w:p>
            <w:pPr>
              <w:pStyle w:val="TableContents"/>
              <w:bidi w:val="0"/>
              <w:spacing w:before="0" w:after="283"/>
              <w:jc w:val="left"/>
              <w:rPr/>
            </w:pPr>
            <w:r>
              <w:rPr/>
              <w:t>%</w:t>
            </w:r>
          </w:p>
        </w:tc>
      </w:tr>
      <w:tr>
        <w:trPr/>
        <w:tc>
          <w:tcPr>
            <w:tcW w:w="3770" w:type="dxa"/>
            <w:tcBorders/>
            <w:shd w:fill="CCEEFF" w:val="clear"/>
            <w:tcMar>
              <w:bottom w:w="0" w:type="dxa"/>
            </w:tcMar>
            <w:vAlign w:val="center"/>
          </w:tcPr>
          <w:p>
            <w:pPr>
              <w:pStyle w:val="TableContents"/>
              <w:bidi w:val="0"/>
              <w:spacing w:before="0" w:after="283"/>
              <w:jc w:val="left"/>
              <w:rPr/>
            </w:pPr>
            <w:r>
              <w:rPr/>
              <w:t>Total gross accounts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2,495,301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2,495,301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100.0</w:t>
            </w:r>
          </w:p>
        </w:tc>
        <w:tc>
          <w:tcPr>
            <w:tcW w:w="335" w:type="dxa"/>
            <w:tcBorders/>
            <w:shd w:fill="CCEEFF" w:val="clear"/>
            <w:tcMar>
              <w:bottom w:w="0" w:type="dxa"/>
            </w:tcMar>
            <w:vAlign w:val="center"/>
          </w:tcPr>
          <w:p>
            <w:pPr>
              <w:pStyle w:val="TableContents"/>
              <w:bidi w:val="0"/>
              <w:spacing w:before="0" w:after="283"/>
              <w:jc w:val="left"/>
              <w:rPr/>
            </w:pPr>
            <w:r>
              <w:rPr/>
              <w:t>%</w:t>
            </w:r>
          </w:p>
        </w:tc>
      </w:tr>
      <w:tr>
        <w:trPr/>
        <w:tc>
          <w:tcPr>
            <w:tcW w:w="3770" w:type="dxa"/>
            <w:tcBorders/>
            <w:tcMar>
              <w:bottom w:w="0" w:type="dxa"/>
            </w:tcMar>
            <w:vAlign w:val="center"/>
          </w:tcPr>
          <w:p>
            <w:pPr>
              <w:pStyle w:val="TableContents"/>
              <w:bidi w:val="0"/>
              <w:spacing w:before="0" w:after="283"/>
              <w:jc w:val="left"/>
              <w:rPr/>
            </w:pPr>
            <w:r>
              <w:rPr/>
              <w:t>Allowance for credit losses</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vAlign w:val="center"/>
          </w:tcPr>
          <w:p>
            <w:pPr>
              <w:pStyle w:val="TableContents"/>
              <w:bidi w:val="0"/>
              <w:spacing w:before="0" w:after="283"/>
              <w:jc w:val="left"/>
              <w:rPr/>
            </w:pPr>
            <w:r>
              <w:rPr/>
              <w:t> </w:t>
            </w:r>
          </w:p>
        </w:tc>
        <w:tc>
          <w:tcPr>
            <w:tcW w:w="1186" w:type="dxa"/>
            <w:tcBorders>
              <w:bottom w:val="single" w:sz="12"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vAlign w:val="center"/>
          </w:tcPr>
          <w:p>
            <w:pPr>
              <w:pStyle w:val="TableContents"/>
              <w:bidi w:val="0"/>
              <w:spacing w:before="0" w:after="283"/>
              <w:jc w:val="left"/>
              <w:rPr/>
            </w:pPr>
            <w:r>
              <w:rPr/>
              <w:t> </w:t>
            </w:r>
          </w:p>
        </w:tc>
        <w:tc>
          <w:tcPr>
            <w:tcW w:w="942" w:type="dxa"/>
            <w:tcBorders>
              <w:bottom w:val="single" w:sz="12" w:space="0" w:color="000000"/>
            </w:tcBorders>
            <w:vAlign w:val="center"/>
          </w:tcPr>
          <w:p>
            <w:pPr>
              <w:pStyle w:val="TableContents"/>
              <w:bidi w:val="0"/>
              <w:spacing w:before="0" w:after="0"/>
              <w:jc w:val="right"/>
              <w:rPr/>
            </w:pPr>
            <w:r>
              <w:rPr/>
              <w:t>-</w:t>
            </w:r>
          </w:p>
        </w:tc>
        <w:tc>
          <w:tcPr>
            <w:tcW w:w="335" w:type="dxa"/>
            <w:tcBorders/>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b/>
              </w:rPr>
            </w:pPr>
            <w:r>
              <w:rPr>
                <w:b/>
              </w:rPr>
              <w:t>Accounts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186" w:type="dxa"/>
            <w:tcBorders>
              <w:bottom w:val="double" w:sz="10" w:space="0" w:color="000000"/>
            </w:tcBorders>
            <w:shd w:fill="CCEEFF" w:val="clear"/>
            <w:vAlign w:val="center"/>
          </w:tcPr>
          <w:p>
            <w:pPr>
              <w:pStyle w:val="TableContents"/>
              <w:bidi w:val="0"/>
              <w:spacing w:before="0" w:after="283"/>
              <w:jc w:val="right"/>
              <w:rPr>
                <w:b/>
              </w:rPr>
            </w:pPr>
            <w:r>
              <w:rPr>
                <w:b/>
              </w:rPr>
              <w:t>2,495,301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vAlign w:val="center"/>
          </w:tcPr>
          <w:p>
            <w:pPr>
              <w:pStyle w:val="TableContents"/>
              <w:bidi w:val="0"/>
              <w:spacing w:before="0" w:after="283"/>
              <w:jc w:val="right"/>
              <w:rPr>
                <w:b/>
              </w:rPr>
            </w:pPr>
            <w:r>
              <w:rPr>
                <w:b/>
              </w:rPr>
              <w:t>2,495,301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CCEEFF" w:val="clear"/>
            <w:vAlign w:val="center"/>
          </w:tcPr>
          <w:p>
            <w:pPr>
              <w:pStyle w:val="TableContents"/>
              <w:bidi w:val="0"/>
              <w:spacing w:before="0" w:after="283"/>
              <w:jc w:val="left"/>
              <w:rPr/>
            </w:pPr>
            <w:r>
              <w:rPr/>
              <w:t> </w:t>
            </w:r>
          </w:p>
        </w:tc>
        <w:tc>
          <w:tcPr>
            <w:tcW w:w="942" w:type="dxa"/>
            <w:tcBorders>
              <w:bottom w:val="double" w:sz="10" w:space="0" w:color="000000"/>
            </w:tcBorders>
            <w:shd w:fill="CCEEFF" w:val="clear"/>
            <w:vAlign w:val="center"/>
          </w:tcPr>
          <w:p>
            <w:pPr>
              <w:pStyle w:val="TableContents"/>
              <w:bidi w:val="0"/>
              <w:spacing w:before="0" w:after="283"/>
              <w:jc w:val="right"/>
              <w:rPr>
                <w:b/>
              </w:rPr>
            </w:pPr>
            <w:r>
              <w:rPr>
                <w:b/>
              </w:rPr>
              <w:t>100.0</w:t>
            </w:r>
          </w:p>
        </w:tc>
        <w:tc>
          <w:tcPr>
            <w:tcW w:w="33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290"/>
        <w:gridCol w:w="52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subsequent collection is as of July 15, 2026.</w:t>
            </w:r>
          </w:p>
        </w:tc>
      </w:tr>
      <w:tr>
        <w:trPr/>
        <w:tc>
          <w:tcPr>
            <w:tcW w:w="29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May 22, 2026, 100.0% of the balance had been collected.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9"/>
        <w:gridCol w:w="1117"/>
        <w:gridCol w:w="8759"/>
      </w:tblGrid>
      <w:tr>
        <w:trPr/>
        <w:tc>
          <w:tcPr>
            <w:tcW w:w="32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b/>
              </w:rPr>
            </w:pPr>
            <w:r>
              <w:rPr>
                <w:b/>
              </w:rPr>
              <w:t>5.</w:t>
            </w:r>
          </w:p>
        </w:tc>
        <w:tc>
          <w:tcPr>
            <w:tcW w:w="8759" w:type="dxa"/>
            <w:tcBorders/>
            <w:vAlign w:val="center"/>
          </w:tcPr>
          <w:p>
            <w:pPr>
              <w:pStyle w:val="TableContents"/>
              <w:bidi w:val="0"/>
              <w:spacing w:before="0" w:after="283"/>
              <w:jc w:val="both"/>
              <w:rPr>
                <w:b/>
              </w:rPr>
            </w:pPr>
            <w:r>
              <w:rPr>
                <w:b/>
              </w:rPr>
              <w:t>INVENTORIES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consisted of the following:</w:t>
      </w:r>
    </w:p>
    <w:p>
      <w:pPr>
        <w:pStyle w:val="TextBody"/>
        <w:bidi w:val="0"/>
        <w:spacing w:before="0" w:after="0"/>
        <w:ind w:left="480" w:right="0" w:hanging="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880"/>
        <w:gridCol w:w="90"/>
        <w:gridCol w:w="170"/>
        <w:gridCol w:w="1010"/>
        <w:gridCol w:w="90"/>
        <w:gridCol w:w="90"/>
        <w:gridCol w:w="170"/>
        <w:gridCol w:w="1010"/>
        <w:gridCol w:w="135"/>
      </w:tblGrid>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ind w:left="0" w:right="0" w:hanging="200"/>
              <w:jc w:val="left"/>
              <w:rPr/>
            </w:pPr>
            <w:r>
              <w:rPr/>
              <w:t> </w:t>
            </w:r>
          </w:p>
        </w:tc>
      </w:tr>
      <w:tr>
        <w:trPr/>
        <w:tc>
          <w:tcPr>
            <w:tcW w:w="1880" w:type="dxa"/>
            <w:tcBorders/>
            <w:shd w:fill="CCEEFF" w:val="clear"/>
            <w:vAlign w:val="center"/>
          </w:tcPr>
          <w:p>
            <w:pPr>
              <w:pStyle w:val="TableContents"/>
              <w:bidi w:val="0"/>
              <w:spacing w:before="0" w:after="283"/>
              <w:jc w:val="left"/>
              <w:rPr/>
            </w:pPr>
            <w:r>
              <w:rPr/>
              <w:t>Raw materials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1,378,081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813,306</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880" w:type="dxa"/>
            <w:tcBorders/>
            <w:vAlign w:val="center"/>
          </w:tcPr>
          <w:p>
            <w:pPr>
              <w:pStyle w:val="TableContents"/>
              <w:bidi w:val="0"/>
              <w:spacing w:before="0" w:after="283"/>
              <w:jc w:val="left"/>
              <w:rPr/>
            </w:pPr>
            <w:r>
              <w:rPr/>
              <w:t>Finished goods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32,776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223,854</w:t>
            </w:r>
          </w:p>
        </w:tc>
        <w:tc>
          <w:tcPr>
            <w:tcW w:w="135" w:type="dxa"/>
            <w:tcBorders/>
            <w:vAlign w:val="center"/>
          </w:tcPr>
          <w:p>
            <w:pPr>
              <w:pStyle w:val="TableContents"/>
              <w:bidi w:val="0"/>
              <w:spacing w:before="0" w:after="283"/>
              <w:ind w:left="0" w:right="0" w:hanging="200"/>
              <w:jc w:val="left"/>
              <w:rPr/>
            </w:pPr>
            <w:r>
              <w:rPr/>
              <w:t> </w:t>
            </w:r>
          </w:p>
        </w:tc>
      </w:tr>
      <w:tr>
        <w:trPr/>
        <w:tc>
          <w:tcPr>
            <w:tcW w:w="1880" w:type="dxa"/>
            <w:tcBorders/>
            <w:shd w:fill="CCEEFF" w:val="clear"/>
            <w:vAlign w:val="center"/>
          </w:tcPr>
          <w:p>
            <w:pPr>
              <w:pStyle w:val="TableContents"/>
              <w:bidi w:val="0"/>
              <w:spacing w:before="0" w:after="283"/>
              <w:jc w:val="left"/>
              <w:rPr/>
            </w:pPr>
            <w:r>
              <w:rPr/>
              <w:t>Work in process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220,733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158,182</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880" w:type="dxa"/>
            <w:tcBorders/>
            <w:vAlign w:val="center"/>
          </w:tcPr>
          <w:p>
            <w:pPr>
              <w:pStyle w:val="TableContents"/>
              <w:bidi w:val="0"/>
              <w:spacing w:before="0" w:after="283"/>
              <w:jc w:val="left"/>
              <w:rPr>
                <w:sz w:val="20"/>
              </w:rPr>
            </w:pPr>
            <w:r>
              <w:rPr>
                <w:sz w:val="20"/>
              </w:rPr>
              <w:t xml:space="preserve">Inventory in transit </w:t>
            </w:r>
            <w:r>
              <w:rPr>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669,626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566,538</w:t>
            </w:r>
          </w:p>
        </w:tc>
        <w:tc>
          <w:tcPr>
            <w:tcW w:w="135" w:type="dxa"/>
            <w:tcBorders/>
            <w:vAlign w:val="center"/>
          </w:tcPr>
          <w:p>
            <w:pPr>
              <w:pStyle w:val="TableContents"/>
              <w:bidi w:val="0"/>
              <w:spacing w:before="0" w:after="283"/>
              <w:ind w:left="0" w:right="0" w:hanging="200"/>
              <w:jc w:val="left"/>
              <w:rPr/>
            </w:pPr>
            <w:r>
              <w:rPr/>
              <w:t> </w:t>
            </w:r>
          </w:p>
        </w:tc>
      </w:tr>
      <w:tr>
        <w:trPr/>
        <w:tc>
          <w:tcPr>
            <w:tcW w:w="1880" w:type="dxa"/>
            <w:tcBorders/>
            <w:shd w:fill="CCEEFF" w:val="clear"/>
            <w:vAlign w:val="center"/>
          </w:tcPr>
          <w:p>
            <w:pPr>
              <w:pStyle w:val="TableContents"/>
              <w:bidi w:val="0"/>
              <w:spacing w:before="0" w:after="283"/>
              <w:jc w:val="left"/>
              <w:rPr>
                <w:b/>
              </w:rPr>
            </w:pPr>
            <w:r>
              <w:rPr>
                <w:b/>
              </w:rPr>
              <w:t>Inventories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2,301,216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1,761,880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Inventory in transit represents products shipped but control has not yet been transferred to customers as of the balance sheet dates.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inventory write-down of $68,783, $128,241 and $188,268 for the years ended March 31, 2026, 2025 and 2024, respectively.</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55"/>
        <w:gridCol w:w="9746"/>
      </w:tblGrid>
      <w:tr>
        <w:trPr/>
        <w:tc>
          <w:tcPr>
            <w:tcW w:w="1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b/>
              </w:rPr>
            </w:pPr>
            <w:r>
              <w:rPr>
                <w:b/>
              </w:rPr>
              <w:t>6.</w:t>
            </w:r>
          </w:p>
        </w:tc>
        <w:tc>
          <w:tcPr>
            <w:tcW w:w="9746" w:type="dxa"/>
            <w:tcBorders/>
            <w:vAlign w:val="center"/>
          </w:tcPr>
          <w:p>
            <w:pPr>
              <w:pStyle w:val="TableContents"/>
              <w:bidi w:val="0"/>
              <w:spacing w:before="0" w:after="283"/>
              <w:jc w:val="both"/>
              <w:rPr>
                <w:b/>
              </w:rPr>
            </w:pPr>
            <w:r>
              <w:rPr>
                <w:b/>
              </w:rPr>
              <w:t>PREPAID EXPENSES AND OTHER CURRENT ASSETS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36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4325"/>
        <w:gridCol w:w="90"/>
        <w:gridCol w:w="170"/>
        <w:gridCol w:w="1010"/>
        <w:gridCol w:w="90"/>
        <w:gridCol w:w="90"/>
        <w:gridCol w:w="170"/>
        <w:gridCol w:w="1010"/>
        <w:gridCol w:w="135"/>
      </w:tblGrid>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3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sz w:val="20"/>
              </w:rPr>
            </w:pPr>
            <w:r>
              <w:rPr>
                <w:sz w:val="20"/>
              </w:rPr>
              <w:t xml:space="preserve">Prepaid expenses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1,293,609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231,683</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vAlign w:val="center"/>
          </w:tcPr>
          <w:p>
            <w:pPr>
              <w:pStyle w:val="TableContents"/>
              <w:bidi w:val="0"/>
              <w:spacing w:before="0" w:after="283"/>
              <w:jc w:val="left"/>
              <w:rPr>
                <w:sz w:val="20"/>
              </w:rPr>
            </w:pPr>
            <w:r>
              <w:rPr>
                <w:sz w:val="20"/>
              </w:rPr>
              <w:t xml:space="preserve">Deductible VAT-Input </w:t>
            </w:r>
            <w:r>
              <w:rPr>
                <w:position w:val="7"/>
                <w:sz w:val="16"/>
                <w:sz w:val="20"/>
              </w:rPr>
              <w:t>(2)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186,484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352,585</w:t>
            </w:r>
          </w:p>
        </w:tc>
        <w:tc>
          <w:tcPr>
            <w:tcW w:w="135" w:type="dxa"/>
            <w:tcBorders/>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sz w:val="20"/>
              </w:rPr>
            </w:pPr>
            <w:r>
              <w:rPr>
                <w:sz w:val="20"/>
              </w:rPr>
              <w:t xml:space="preserve">Advances to vendors </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141,811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7,172</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vAlign w:val="center"/>
          </w:tcPr>
          <w:p>
            <w:pPr>
              <w:pStyle w:val="TableContents"/>
              <w:bidi w:val="0"/>
              <w:spacing w:before="0" w:after="283"/>
              <w:jc w:val="left"/>
              <w:rPr>
                <w:sz w:val="20"/>
              </w:rPr>
            </w:pPr>
            <w:r>
              <w:rPr>
                <w:sz w:val="20"/>
              </w:rPr>
              <w:t xml:space="preserve">Income tax recoverable </w:t>
            </w:r>
            <w:r>
              <w:rPr>
                <w:position w:val="7"/>
                <w:sz w:val="16"/>
                <w:sz w:val="20"/>
              </w:rPr>
              <w:t>(4)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15,616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452,598</w:t>
            </w:r>
          </w:p>
        </w:tc>
        <w:tc>
          <w:tcPr>
            <w:tcW w:w="135" w:type="dxa"/>
            <w:tcBorders/>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32,051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21,994</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vAlign w:val="center"/>
          </w:tcPr>
          <w:p>
            <w:pPr>
              <w:pStyle w:val="TableContents"/>
              <w:bidi w:val="0"/>
              <w:spacing w:before="0" w:after="283"/>
              <w:jc w:val="left"/>
              <w:rPr>
                <w:b/>
              </w:rPr>
            </w:pPr>
            <w:r>
              <w:rPr>
                <w:b/>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1,669,571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1,066,032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sz w:val="20"/>
              </w:rPr>
            </w:pPr>
            <w:r>
              <w:rPr>
                <w:sz w:val="20"/>
              </w:rPr>
              <w:t>(1)</w:t>
            </w:r>
          </w:p>
        </w:tc>
        <w:tc>
          <w:tcPr>
            <w:tcW w:w="99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primarily consist of marketing promotions, contracted product development service fees and prepayments for directors and officer liability insurance. On October 8, 2025, the Group entered into a one-year market development agreement with an independent third-party vendor for Southeast Asia business expansion at a total consideration of $1,200,000. On October 10, 2025, the Group signed an outsourced product development contract with an independent third-party vendor to develop matching intelligent modules and embedded software for its connectors at a total amount of $800,000.</w:t>
            </w:r>
          </w:p>
        </w:tc>
      </w:tr>
      <w:tr>
        <w:trPr/>
        <w:tc>
          <w:tcPr>
            <w:tcW w:w="238" w:type="dxa"/>
            <w:tcBorders/>
            <w:vAlign w:val="center"/>
          </w:tcPr>
          <w:p>
            <w:pPr>
              <w:pStyle w:val="TableContents"/>
              <w:bidi w:val="0"/>
              <w:spacing w:before="0" w:after="283"/>
              <w:jc w:val="left"/>
              <w:rPr/>
            </w:pPr>
            <w:r>
              <w:rPr/>
              <w:t> </w:t>
            </w:r>
          </w:p>
        </w:tc>
        <w:tc>
          <w:tcPr>
            <w:tcW w:w="9967" w:type="dxa"/>
            <w:tcBorders/>
            <w:vAlign w:val="center"/>
          </w:tcPr>
          <w:p>
            <w:pPr>
              <w:pStyle w:val="TableContents"/>
              <w:bidi w:val="0"/>
              <w:spacing w:before="0" w:after="283"/>
              <w:jc w:val="both"/>
              <w:rPr/>
            </w:pPr>
            <w:r>
              <w:rPr/>
              <w:t> </w:t>
            </w:r>
          </w:p>
        </w:tc>
      </w:tr>
      <w:tr>
        <w:trPr/>
        <w:tc>
          <w:tcPr>
            <w:tcW w:w="238" w:type="dxa"/>
            <w:tcBorders/>
            <w:vAlign w:val="center"/>
          </w:tcPr>
          <w:p>
            <w:pPr>
              <w:pStyle w:val="TableContents"/>
              <w:bidi w:val="0"/>
              <w:spacing w:before="0" w:after="283"/>
              <w:jc w:val="left"/>
              <w:rPr>
                <w:sz w:val="20"/>
              </w:rPr>
            </w:pPr>
            <w:r>
              <w:rPr>
                <w:sz w:val="20"/>
              </w:rPr>
              <w:t>(2)</w:t>
            </w:r>
          </w:p>
        </w:tc>
        <w:tc>
          <w:tcPr>
            <w:tcW w:w="9967" w:type="dxa"/>
            <w:tcBorders/>
            <w:vAlign w:val="center"/>
          </w:tcPr>
          <w:p>
            <w:pPr>
              <w:pStyle w:val="TableContents"/>
              <w:bidi w:val="0"/>
              <w:spacing w:before="0" w:after="283"/>
              <w:jc w:val="both"/>
              <w:rPr>
                <w:sz w:val="20"/>
              </w:rPr>
            </w:pPr>
            <w:r>
              <w:rPr>
                <w:sz w:val="20"/>
              </w:rPr>
              <w:t>The Group’s PRC and Netherlands subsidiaries, CCSC Interconnect DG and CCSC Interconnect NL are VAT general taxpayers which are allowed to offset qualified input VAT, paid to suppliers against their output VAT liabilities. Deductible VAT- Input represents the qualified input VAT from purchase of raw materials exceeds the output VAT from sales of products. Such amount can be used to offset future VAT tax liabilities.</w:t>
            </w:r>
          </w:p>
        </w:tc>
      </w:tr>
      <w:tr>
        <w:trPr/>
        <w:tc>
          <w:tcPr>
            <w:tcW w:w="238" w:type="dxa"/>
            <w:tcBorders/>
            <w:vAlign w:val="center"/>
          </w:tcPr>
          <w:p>
            <w:pPr>
              <w:pStyle w:val="TableContents"/>
              <w:bidi w:val="0"/>
              <w:spacing w:before="0" w:after="283"/>
              <w:jc w:val="left"/>
              <w:rPr/>
            </w:pPr>
            <w:r>
              <w:rPr/>
              <w:t> </w:t>
            </w:r>
          </w:p>
        </w:tc>
        <w:tc>
          <w:tcPr>
            <w:tcW w:w="9967" w:type="dxa"/>
            <w:tcBorders/>
            <w:vAlign w:val="center"/>
          </w:tcPr>
          <w:p>
            <w:pPr>
              <w:pStyle w:val="TableContents"/>
              <w:bidi w:val="0"/>
              <w:spacing w:before="0" w:after="283"/>
              <w:jc w:val="both"/>
              <w:rPr/>
            </w:pPr>
            <w:r>
              <w:rPr/>
              <w:t> </w:t>
            </w:r>
          </w:p>
        </w:tc>
      </w:tr>
      <w:tr>
        <w:trPr/>
        <w:tc>
          <w:tcPr>
            <w:tcW w:w="238" w:type="dxa"/>
            <w:tcBorders/>
            <w:vAlign w:val="center"/>
          </w:tcPr>
          <w:p>
            <w:pPr>
              <w:pStyle w:val="TableContents"/>
              <w:bidi w:val="0"/>
              <w:spacing w:before="0" w:after="283"/>
              <w:jc w:val="left"/>
              <w:rPr>
                <w:sz w:val="20"/>
              </w:rPr>
            </w:pPr>
            <w:r>
              <w:rPr>
                <w:sz w:val="20"/>
              </w:rPr>
              <w:t>(3)</w:t>
            </w:r>
          </w:p>
        </w:tc>
        <w:tc>
          <w:tcPr>
            <w:tcW w:w="9967" w:type="dxa"/>
            <w:tcBorders/>
            <w:vAlign w:val="center"/>
          </w:tcPr>
          <w:p>
            <w:pPr>
              <w:pStyle w:val="TableContents"/>
              <w:bidi w:val="0"/>
              <w:spacing w:before="0" w:after="283"/>
              <w:jc w:val="both"/>
              <w:rPr>
                <w:sz w:val="20"/>
              </w:rPr>
            </w:pPr>
            <w:r>
              <w:rPr>
                <w:sz w:val="20"/>
              </w:rPr>
              <w:t>Advances to vendors primarily represent prepayments to suppliers for raw material purchases.</w:t>
            </w:r>
          </w:p>
        </w:tc>
      </w:tr>
      <w:tr>
        <w:trPr/>
        <w:tc>
          <w:tcPr>
            <w:tcW w:w="238" w:type="dxa"/>
            <w:tcBorders/>
            <w:vAlign w:val="center"/>
          </w:tcPr>
          <w:p>
            <w:pPr>
              <w:pStyle w:val="TableContents"/>
              <w:bidi w:val="0"/>
              <w:spacing w:before="0" w:after="283"/>
              <w:jc w:val="left"/>
              <w:rPr/>
            </w:pPr>
            <w:r>
              <w:rPr/>
              <w:t> </w:t>
            </w:r>
          </w:p>
        </w:tc>
        <w:tc>
          <w:tcPr>
            <w:tcW w:w="9967" w:type="dxa"/>
            <w:tcBorders/>
            <w:vAlign w:val="center"/>
          </w:tcPr>
          <w:p>
            <w:pPr>
              <w:pStyle w:val="TableContents"/>
              <w:bidi w:val="0"/>
              <w:spacing w:before="0" w:after="283"/>
              <w:jc w:val="both"/>
              <w:rPr/>
            </w:pPr>
            <w:r>
              <w:rPr/>
              <w:t> </w:t>
            </w:r>
          </w:p>
        </w:tc>
      </w:tr>
      <w:tr>
        <w:trPr/>
        <w:tc>
          <w:tcPr>
            <w:tcW w:w="238" w:type="dxa"/>
            <w:tcBorders/>
            <w:vAlign w:val="center"/>
          </w:tcPr>
          <w:p>
            <w:pPr>
              <w:pStyle w:val="TableContents"/>
              <w:bidi w:val="0"/>
              <w:spacing w:before="0" w:after="283"/>
              <w:jc w:val="left"/>
              <w:rPr>
                <w:sz w:val="20"/>
              </w:rPr>
            </w:pPr>
            <w:r>
              <w:rPr>
                <w:sz w:val="20"/>
              </w:rPr>
              <w:t>(4)</w:t>
            </w:r>
          </w:p>
        </w:tc>
        <w:tc>
          <w:tcPr>
            <w:tcW w:w="9967" w:type="dxa"/>
            <w:tcBorders/>
            <w:vAlign w:val="center"/>
          </w:tcPr>
          <w:p>
            <w:pPr>
              <w:pStyle w:val="TableContents"/>
              <w:bidi w:val="0"/>
              <w:spacing w:before="0" w:after="283"/>
              <w:jc w:val="both"/>
              <w:rPr>
                <w:sz w:val="20"/>
              </w:rPr>
            </w:pPr>
            <w:r>
              <w:rPr>
                <w:sz w:val="20"/>
              </w:rPr>
              <w:t xml:space="preserve">The Group’s Hong Kong subsidiaries, CCSC Technology Group and CCSC Interconnect HK, make income tax prepayments to Hong Kong based on estimated taxable income based on the preceding year’s taxable income. This payment is used to offset against the actual income tax liability which assessed by local tax authority at year-end based on actual taxable income generated by CCSC Technology Group and CCSC Interconnect HK. Any overpayment will be refundable in accordance with Hong Kong tax laws when the final income tax liability is determined based on actual taxable income generated during the year. The Group received tax refunds of $40,004, $246,771 and nil for the years ended March 31, 2026, 2025 and 2024. </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27"/>
        <w:gridCol w:w="9652"/>
      </w:tblGrid>
      <w:tr>
        <w:trPr/>
        <w:tc>
          <w:tcPr>
            <w:tcW w:w="1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b/>
              </w:rPr>
            </w:pPr>
            <w:r>
              <w:rPr>
                <w:b/>
              </w:rPr>
              <w:t>7.</w:t>
            </w:r>
          </w:p>
        </w:tc>
        <w:tc>
          <w:tcPr>
            <w:tcW w:w="9652" w:type="dxa"/>
            <w:tcBorders/>
            <w:vAlign w:val="center"/>
          </w:tcPr>
          <w:p>
            <w:pPr>
              <w:pStyle w:val="TableContents"/>
              <w:bidi w:val="0"/>
              <w:spacing w:before="0" w:after="283"/>
              <w:jc w:val="both"/>
              <w:rPr>
                <w:b/>
              </w:rPr>
            </w:pPr>
            <w:r>
              <w:rPr>
                <w:b/>
              </w:rPr>
              <w:t>PROPERTY, PLANT AND EQUIPMENT, NET</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consisted of the following:</w:t>
      </w:r>
    </w:p>
    <w:p>
      <w:pPr>
        <w:pStyle w:val="TextBody"/>
        <w:bidi w:val="0"/>
        <w:spacing w:before="0" w:after="0"/>
        <w:ind w:left="360" w:right="0" w:hanging="0"/>
        <w:jc w:val="both"/>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4235"/>
        <w:gridCol w:w="90"/>
        <w:gridCol w:w="170"/>
        <w:gridCol w:w="1085"/>
        <w:gridCol w:w="125"/>
        <w:gridCol w:w="90"/>
        <w:gridCol w:w="170"/>
        <w:gridCol w:w="1085"/>
        <w:gridCol w:w="170"/>
      </w:tblGrid>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Machinery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3,012,197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2,606,707</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sz w:val="20"/>
              </w:rPr>
            </w:pPr>
            <w:r>
              <w:rPr>
                <w:sz w:val="20"/>
              </w:rPr>
              <w:t xml:space="preserve">Land </w:t>
            </w:r>
            <w:r>
              <w:rPr>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557,266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523,654</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507,809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447,411</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Leasehold improvements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418,773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414,389</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Motor vehicle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157,637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154,598</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Furniture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22,297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22,971</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Subtotal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4,675,979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4,169,730</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Less: accumulated depreciation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(3,638,198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(3,330,713</w:t>
            </w:r>
          </w:p>
        </w:tc>
        <w:tc>
          <w:tcPr>
            <w:tcW w:w="170" w:type="dxa"/>
            <w:tcBorders/>
            <w:vAlign w:val="center"/>
          </w:tcPr>
          <w:p>
            <w:pPr>
              <w:pStyle w:val="TableContents"/>
              <w:bidi w:val="0"/>
              <w:spacing w:before="0" w:after="283"/>
              <w:jc w:val="left"/>
              <w:rPr/>
            </w:pPr>
            <w:r>
              <w:rPr/>
              <w:t>)</w:t>
            </w:r>
          </w:p>
        </w:tc>
      </w:tr>
      <w:tr>
        <w:trPr/>
        <w:tc>
          <w:tcPr>
            <w:tcW w:w="4235" w:type="dxa"/>
            <w:tcBorders/>
            <w:shd w:fill="CCEEFF" w:val="clear"/>
            <w:vAlign w:val="center"/>
          </w:tcPr>
          <w:p>
            <w:pPr>
              <w:pStyle w:val="TableContents"/>
              <w:bidi w:val="0"/>
              <w:spacing w:before="0" w:after="283"/>
              <w:jc w:val="left"/>
              <w:rPr>
                <w:b/>
              </w:rPr>
            </w:pPr>
            <w:r>
              <w:rPr>
                <w:b/>
              </w:rPr>
              <w:t>Property, plant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1,037,781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839,017</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sz w:val="20"/>
              </w:rPr>
            </w:pPr>
            <w:r>
              <w:rPr>
                <w:sz w:val="20"/>
              </w:rPr>
              <w:t xml:space="preserve">Construction in progress </w:t>
            </w:r>
            <w:r>
              <w:rPr>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942,983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14,942</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b/>
              </w:rPr>
            </w:pPr>
            <w:r>
              <w:rPr>
                <w:b/>
              </w:rPr>
              <w:t>Total property, plant and equipment, net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1,980,764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853,959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48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sz w:val="20"/>
              </w:rPr>
            </w:pPr>
            <w:r>
              <w:rPr>
                <w:sz w:val="20"/>
              </w:rPr>
              <w:t>(1)</w:t>
            </w:r>
          </w:p>
        </w:tc>
        <w:tc>
          <w:tcPr>
            <w:tcW w:w="9936" w:type="dxa"/>
            <w:tcBorders/>
            <w:vAlign w:val="center"/>
          </w:tcPr>
          <w:p>
            <w:pPr>
              <w:pStyle w:val="TableContents"/>
              <w:bidi w:val="0"/>
              <w:spacing w:before="0" w:after="283"/>
              <w:jc w:val="both"/>
              <w:rPr>
                <w:sz w:val="20"/>
              </w:rPr>
            </w:pPr>
            <w:r>
              <w:rPr>
                <w:sz w:val="20"/>
              </w:rPr>
              <w:t>In June 2024, CCSC Technology Serbia signed a purchase agreement on real estate to purchase 4 lots of land located in Serbia for construction of its European production center.</w:t>
            </w:r>
          </w:p>
        </w:tc>
      </w:tr>
    </w:tbl>
    <w:p>
      <w:pPr>
        <w:pStyle w:val="TextBody"/>
        <w:bidi w:val="0"/>
        <w:spacing w:before="0" w:after="0"/>
        <w:ind w:left="482" w:right="0" w:hanging="0"/>
        <w:jc w:val="both"/>
        <w:rPr>
          <w:caps w:val="false"/>
          <w:smallCaps w:val="false"/>
        </w:rPr>
      </w:pPr>
      <w:r>
        <w:rPr>
          <w:caps w:val="false"/>
          <w:smallCaps w:val="false"/>
        </w:rPr>
        <w:t> </w:t>
      </w:r>
    </w:p>
    <w:p>
      <w:pPr>
        <w:pStyle w:val="TextBody"/>
        <w:bidi w:val="0"/>
        <w:spacing w:before="0" w:after="0"/>
        <w:ind w:left="48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sz w:val="20"/>
              </w:rPr>
            </w:pPr>
            <w:r>
              <w:rPr>
                <w:sz w:val="20"/>
              </w:rPr>
              <w:t>(2)</w:t>
            </w:r>
          </w:p>
        </w:tc>
        <w:tc>
          <w:tcPr>
            <w:tcW w:w="9945" w:type="dxa"/>
            <w:tcBorders/>
            <w:vAlign w:val="center"/>
          </w:tcPr>
          <w:p>
            <w:pPr>
              <w:pStyle w:val="TableContents"/>
              <w:bidi w:val="0"/>
              <w:spacing w:before="0" w:after="283"/>
              <w:jc w:val="both"/>
              <w:rPr>
                <w:sz w:val="20"/>
              </w:rPr>
            </w:pPr>
            <w:r>
              <w:rPr>
                <w:sz w:val="20"/>
              </w:rPr>
              <w:t>In November 2025, the Group entered into a fixed-price construction contract for the manufacturing plant located in Serbia. The construction project is expected to be completed and ready for operational use in December 2026.</w:t>
            </w:r>
          </w:p>
        </w:tc>
      </w:tr>
    </w:tbl>
    <w:p>
      <w:pPr>
        <w:pStyle w:val="TextBody"/>
        <w:bidi w:val="0"/>
        <w:spacing w:before="0" w:after="0"/>
        <w:ind w:left="482"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were $202,944, $197,532 and $163,120 for the years ended March 31, 2026, 2025 and 2024, respectively.</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649"/>
        <w:gridCol w:w="9365"/>
      </w:tblGrid>
      <w:tr>
        <w:trPr/>
        <w:tc>
          <w:tcPr>
            <w:tcW w:w="19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b/>
              </w:rPr>
            </w:pPr>
            <w:r>
              <w:rPr>
                <w:b/>
              </w:rPr>
              <w:t>8.</w:t>
            </w:r>
          </w:p>
        </w:tc>
        <w:tc>
          <w:tcPr>
            <w:tcW w:w="9365" w:type="dxa"/>
            <w:tcBorders/>
            <w:vAlign w:val="center"/>
          </w:tcPr>
          <w:p>
            <w:pPr>
              <w:pStyle w:val="TableContents"/>
              <w:bidi w:val="0"/>
              <w:spacing w:before="0" w:after="283"/>
              <w:jc w:val="both"/>
              <w:rPr>
                <w:b/>
              </w:rPr>
            </w:pPr>
            <w:r>
              <w:rPr>
                <w:b/>
              </w:rPr>
              <w:t>INTANGIBLE ASSETS, NET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660" w:type="dxa"/>
        <w:jc w:val="left"/>
        <w:tblInd w:w="0" w:type="dxa"/>
        <w:tblLayout w:type="fixed"/>
        <w:tblCellMar>
          <w:top w:w="0" w:type="dxa"/>
          <w:left w:w="0" w:type="dxa"/>
          <w:bottom w:w="0" w:type="dxa"/>
          <w:right w:w="0" w:type="dxa"/>
        </w:tblCellMar>
      </w:tblPr>
      <w:tblGrid>
        <w:gridCol w:w="3035"/>
        <w:gridCol w:w="90"/>
        <w:gridCol w:w="170"/>
        <w:gridCol w:w="905"/>
        <w:gridCol w:w="125"/>
        <w:gridCol w:w="90"/>
        <w:gridCol w:w="170"/>
        <w:gridCol w:w="905"/>
        <w:gridCol w:w="170"/>
      </w:tblGrid>
      <w:tr>
        <w:trPr/>
        <w:tc>
          <w:tcPr>
            <w:tcW w:w="3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7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ind w:left="0" w:right="0" w:hanging="200"/>
              <w:jc w:val="left"/>
              <w:rPr/>
            </w:pPr>
            <w:r>
              <w:rPr/>
              <w:t> </w:t>
            </w:r>
          </w:p>
        </w:tc>
      </w:tr>
      <w:tr>
        <w:trPr/>
        <w:tc>
          <w:tcPr>
            <w:tcW w:w="3035" w:type="dxa"/>
            <w:tcBorders/>
            <w:shd w:fill="CCEEFF" w:val="clear"/>
            <w:vAlign w:val="center"/>
          </w:tcPr>
          <w:p>
            <w:pPr>
              <w:pStyle w:val="TableContents"/>
              <w:bidi w:val="0"/>
              <w:spacing w:before="0" w:after="283"/>
              <w:jc w:val="left"/>
              <w:rPr/>
            </w:pPr>
            <w:r>
              <w:rPr/>
              <w:t>Software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548,295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609,099</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3035" w:type="dxa"/>
            <w:tcBorders/>
            <w:vAlign w:val="center"/>
          </w:tcPr>
          <w:p>
            <w:pPr>
              <w:pStyle w:val="TableContents"/>
              <w:bidi w:val="0"/>
              <w:spacing w:before="0" w:after="283"/>
              <w:jc w:val="left"/>
              <w:rPr/>
            </w:pPr>
            <w:r>
              <w:rPr/>
              <w:t>Less: accumulated amortization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(480,758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(525,193</w:t>
            </w:r>
          </w:p>
        </w:tc>
        <w:tc>
          <w:tcPr>
            <w:tcW w:w="170" w:type="dxa"/>
            <w:tcBorders/>
            <w:vAlign w:val="center"/>
          </w:tcPr>
          <w:p>
            <w:pPr>
              <w:pStyle w:val="TableContents"/>
              <w:bidi w:val="0"/>
              <w:spacing w:before="0" w:after="283"/>
              <w:ind w:left="0" w:right="0" w:hanging="200"/>
              <w:jc w:val="left"/>
              <w:rPr/>
            </w:pPr>
            <w:r>
              <w:rPr/>
              <w:t>)</w:t>
            </w:r>
          </w:p>
        </w:tc>
      </w:tr>
      <w:tr>
        <w:trPr/>
        <w:tc>
          <w:tcPr>
            <w:tcW w:w="3035" w:type="dxa"/>
            <w:tcBorders/>
            <w:shd w:fill="CCEEFF" w:val="clear"/>
            <w:vAlign w:val="center"/>
          </w:tcPr>
          <w:p>
            <w:pPr>
              <w:pStyle w:val="TableContents"/>
              <w:bidi w:val="0"/>
              <w:spacing w:before="0" w:after="283"/>
              <w:jc w:val="left"/>
              <w:rPr>
                <w:b/>
              </w:rPr>
            </w:pPr>
            <w:r>
              <w:rPr>
                <w:b/>
              </w:rPr>
              <w:t>Intangible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67,537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83,906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were $13,778, $41,067 and $75,637 for the years ended March 31, 2026, 2025 and 2024, respectively.</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486"/>
        <w:gridCol w:w="9576"/>
      </w:tblGrid>
      <w:tr>
        <w:trPr/>
        <w:tc>
          <w:tcPr>
            <w:tcW w:w="1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b/>
              </w:rPr>
            </w:pPr>
            <w:r>
              <w:rPr>
                <w:b/>
              </w:rPr>
              <w:t>9.</w:t>
            </w:r>
          </w:p>
        </w:tc>
        <w:tc>
          <w:tcPr>
            <w:tcW w:w="9576" w:type="dxa"/>
            <w:tcBorders/>
            <w:vAlign w:val="center"/>
          </w:tcPr>
          <w:p>
            <w:pPr>
              <w:pStyle w:val="TableContents"/>
              <w:bidi w:val="0"/>
              <w:spacing w:before="0" w:after="283"/>
              <w:jc w:val="both"/>
              <w:rPr>
                <w:b/>
              </w:rPr>
            </w:pPr>
            <w:r>
              <w:rPr>
                <w:b/>
              </w:rPr>
              <w:t>OTHER NON-CURRENT ASSETS, NET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net consisted of the following:</w:t>
      </w:r>
    </w:p>
    <w:p>
      <w:pPr>
        <w:pStyle w:val="TextBody"/>
        <w:bidi w:val="0"/>
        <w:spacing w:before="0" w:after="0"/>
        <w:ind w:left="36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3770"/>
        <w:gridCol w:w="90"/>
        <w:gridCol w:w="170"/>
        <w:gridCol w:w="1010"/>
        <w:gridCol w:w="90"/>
        <w:gridCol w:w="90"/>
        <w:gridCol w:w="170"/>
        <w:gridCol w:w="1010"/>
        <w:gridCol w:w="135"/>
      </w:tblGrid>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3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Prepayment of equipment and mold model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3,527,818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3,391,103</w:t>
            </w:r>
          </w:p>
        </w:tc>
        <w:tc>
          <w:tcPr>
            <w:tcW w:w="13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Prepayment of intangible assets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540,528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Deposits and others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233,683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119,260</w:t>
            </w:r>
          </w:p>
        </w:tc>
        <w:tc>
          <w:tcPr>
            <w:tcW w:w="13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b/>
              </w:rPr>
            </w:pPr>
            <w:r>
              <w:rPr>
                <w:b/>
              </w:rPr>
              <w:t>Other non-current assets, net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4,302,029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3,510,363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 of equipment and mold model are prepayments to suppliers for equipment and molds, which will be recognized as fixed assets upon delivery and availability for use.</w:t>
            </w:r>
          </w:p>
        </w:tc>
      </w:tr>
      <w:tr>
        <w:trPr/>
        <w:tc>
          <w:tcPr>
            <w:tcW w:w="261" w:type="dxa"/>
            <w:tcBorders/>
            <w:vAlign w:val="center"/>
          </w:tcPr>
          <w:p>
            <w:pPr>
              <w:pStyle w:val="TableContents"/>
              <w:bidi w:val="0"/>
              <w:spacing w:before="0" w:after="283"/>
              <w:jc w:val="left"/>
              <w:rPr/>
            </w:pPr>
            <w:r>
              <w:rPr/>
              <w:t> </w:t>
            </w:r>
          </w:p>
        </w:tc>
        <w:tc>
          <w:tcPr>
            <w:tcW w:w="9944" w:type="dxa"/>
            <w:tcBorders/>
            <w:vAlign w:val="center"/>
          </w:tcPr>
          <w:p>
            <w:pPr>
              <w:pStyle w:val="TableContents"/>
              <w:bidi w:val="0"/>
              <w:spacing w:before="0" w:after="283"/>
              <w:jc w:val="both"/>
              <w:rPr/>
            </w:pPr>
            <w:r>
              <w:rPr/>
              <w:t> </w:t>
            </w:r>
          </w:p>
        </w:tc>
      </w:tr>
      <w:tr>
        <w:trPr/>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Prepayment of intangible assets includes payments to third-party suppliers for the development cost of the intelligent production platform for wiring harnesses. </w:t>
            </w:r>
          </w:p>
        </w:tc>
      </w:tr>
      <w:tr>
        <w:trPr/>
        <w:tc>
          <w:tcPr>
            <w:tcW w:w="261" w:type="dxa"/>
            <w:tcBorders/>
            <w:vAlign w:val="center"/>
          </w:tcPr>
          <w:p>
            <w:pPr>
              <w:pStyle w:val="TableContents"/>
              <w:bidi w:val="0"/>
              <w:spacing w:before="0" w:after="283"/>
              <w:jc w:val="left"/>
              <w:rPr/>
            </w:pPr>
            <w:r>
              <w:rPr/>
              <w:t> </w:t>
            </w:r>
          </w:p>
        </w:tc>
        <w:tc>
          <w:tcPr>
            <w:tcW w:w="9944" w:type="dxa"/>
            <w:tcBorders/>
            <w:vAlign w:val="center"/>
          </w:tcPr>
          <w:p>
            <w:pPr>
              <w:pStyle w:val="TableContents"/>
              <w:bidi w:val="0"/>
              <w:spacing w:before="0" w:after="283"/>
              <w:jc w:val="both"/>
              <w:rPr/>
            </w:pPr>
            <w:r>
              <w:rPr/>
              <w:t> </w:t>
            </w:r>
          </w:p>
        </w:tc>
      </w:tr>
      <w:tr>
        <w:trPr/>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Deposits are rental security payment to the landlords that the Group will hold for more than one year, which will be refunded upon maturity of the leases. Others mainly comprise payments made for the acquisition of servers.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78"/>
        <w:gridCol w:w="9635"/>
      </w:tblGrid>
      <w:tr>
        <w:trPr/>
        <w:tc>
          <w:tcPr>
            <w:tcW w:w="9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b/>
              </w:rPr>
            </w:pPr>
            <w:r>
              <w:rPr>
                <w:b/>
              </w:rPr>
              <w:t>10.</w:t>
            </w:r>
          </w:p>
        </w:tc>
        <w:tc>
          <w:tcPr>
            <w:tcW w:w="9635" w:type="dxa"/>
            <w:tcBorders/>
            <w:vAlign w:val="center"/>
          </w:tcPr>
          <w:p>
            <w:pPr>
              <w:pStyle w:val="TableContents"/>
              <w:bidi w:val="0"/>
              <w:spacing w:before="0" w:after="283"/>
              <w:jc w:val="both"/>
              <w:rPr>
                <w:b/>
              </w:rPr>
            </w:pPr>
            <w:r>
              <w:rPr>
                <w:b/>
              </w:rPr>
              <w:t>ACCRUED EXPENSES AND OTHER CURRENT LIABILITIES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36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3500"/>
        <w:gridCol w:w="90"/>
        <w:gridCol w:w="170"/>
        <w:gridCol w:w="1010"/>
        <w:gridCol w:w="90"/>
        <w:gridCol w:w="90"/>
        <w:gridCol w:w="170"/>
        <w:gridCol w:w="1010"/>
        <w:gridCol w:w="135"/>
      </w:tblGrid>
      <w:tr>
        <w:trPr/>
        <w:tc>
          <w:tcPr>
            <w:tcW w:w="3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3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ind w:left="0" w:right="0" w:hanging="200"/>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 xml:space="preserve">Accrued payroll and employee benefits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1,068,163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1,206,543</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500" w:type="dxa"/>
            <w:tcBorders/>
            <w:vAlign w:val="center"/>
          </w:tcPr>
          <w:p>
            <w:pPr>
              <w:pStyle w:val="TableContents"/>
              <w:bidi w:val="0"/>
              <w:spacing w:before="0" w:after="283"/>
              <w:jc w:val="left"/>
              <w:rPr>
                <w:sz w:val="20"/>
              </w:rPr>
            </w:pPr>
            <w:r>
              <w:rPr>
                <w:sz w:val="20"/>
              </w:rPr>
              <w:t xml:space="preserve">Construction payable </w:t>
            </w:r>
            <w:r>
              <w:rPr>
                <w:position w:val="7"/>
                <w:sz w:val="16"/>
                <w:sz w:val="20"/>
              </w:rPr>
              <w:t>(2)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271,856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 xml:space="preserve">Others </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132,122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138,667</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50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1,472,141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1,345,210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sz w:val="20"/>
              </w:rPr>
            </w:pPr>
            <w:r>
              <w:rPr>
                <w:sz w:val="20"/>
              </w:rPr>
              <w:t>(1)</w:t>
            </w:r>
          </w:p>
        </w:tc>
        <w:tc>
          <w:tcPr>
            <w:tcW w:w="9947" w:type="dxa"/>
            <w:tcBorders/>
            <w:vAlign w:val="center"/>
          </w:tcPr>
          <w:p>
            <w:pPr>
              <w:pStyle w:val="TableContents"/>
              <w:bidi w:val="0"/>
              <w:spacing w:before="0" w:after="283"/>
              <w:jc w:val="both"/>
              <w:rPr>
                <w:sz w:val="20"/>
              </w:rPr>
            </w:pPr>
            <w:r>
              <w:rPr>
                <w:sz w:val="20"/>
              </w:rPr>
              <w:t>Accrued payroll and employee benefits mainly include employee salary accrued for current month and is to be paid in the following month, plus accrued employee social security insurance and housing fund in accordance with PRC labor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sz w:val="20"/>
              </w:rPr>
            </w:pPr>
            <w:r>
              <w:rPr>
                <w:sz w:val="20"/>
              </w:rPr>
              <w:t>(2)</w:t>
            </w:r>
          </w:p>
        </w:tc>
        <w:tc>
          <w:tcPr>
            <w:tcW w:w="9918" w:type="dxa"/>
            <w:tcBorders/>
            <w:vAlign w:val="center"/>
          </w:tcPr>
          <w:p>
            <w:pPr>
              <w:pStyle w:val="TableContents"/>
              <w:bidi w:val="0"/>
              <w:spacing w:before="0" w:after="283"/>
              <w:jc w:val="both"/>
              <w:rPr>
                <w:sz w:val="20"/>
              </w:rPr>
            </w:pPr>
            <w:r>
              <w:rPr>
                <w:sz w:val="20"/>
              </w:rPr>
              <w:t>Construction payable represents payables due to the contractor for construction of the Group’s manufacturing plant in Serbia.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sz w:val="20"/>
              </w:rPr>
            </w:pPr>
            <w:r>
              <w:rPr>
                <w:sz w:val="20"/>
              </w:rPr>
              <w:t>(3)</w:t>
            </w:r>
          </w:p>
        </w:tc>
        <w:tc>
          <w:tcPr>
            <w:tcW w:w="9935" w:type="dxa"/>
            <w:tcBorders/>
            <w:vAlign w:val="center"/>
          </w:tcPr>
          <w:p>
            <w:pPr>
              <w:pStyle w:val="TableContents"/>
              <w:bidi w:val="0"/>
              <w:spacing w:before="0" w:after="283"/>
              <w:jc w:val="both"/>
              <w:rPr>
                <w:sz w:val="20"/>
              </w:rPr>
            </w:pPr>
            <w:r>
              <w:rPr>
                <w:sz w:val="20"/>
              </w:rPr>
              <w:t>Others mainly include rental fees payable, utilities fees payable, other professional fees payable, as well as miscellaneous expenses to support the Company’s daily operations.</w:t>
            </w:r>
          </w:p>
        </w:tc>
      </w:tr>
    </w:tbl>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7"/>
        <w:gridCol w:w="2352"/>
        <w:gridCol w:w="7396"/>
      </w:tblGrid>
      <w:tr>
        <w:trPr/>
        <w:tc>
          <w:tcPr>
            <w:tcW w:w="457"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b/>
              </w:rPr>
            </w:pPr>
            <w:r>
              <w:rPr>
                <w:b/>
              </w:rPr>
              <w:t>11.</w:t>
            </w:r>
          </w:p>
        </w:tc>
        <w:tc>
          <w:tcPr>
            <w:tcW w:w="7396" w:type="dxa"/>
            <w:tcBorders/>
            <w:vAlign w:val="center"/>
          </w:tcPr>
          <w:p>
            <w:pPr>
              <w:pStyle w:val="TableContents"/>
              <w:bidi w:val="0"/>
              <w:spacing w:before="0" w:after="283"/>
              <w:jc w:val="both"/>
              <w:rPr>
                <w:b/>
              </w:rPr>
            </w:pPr>
            <w:r>
              <w:rPr>
                <w:b/>
              </w:rPr>
              <w:t>LEASES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 contract, the Group determines if the arrangement is, or contains, a lease. Right-of-use assets represent the Group’s right to use an underlying asset over the lease term and lease liabilities represent the Group’s obligation to make lease payments derived from the lease.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and finance lease ROU assets and liabilities are recognized at commencement date based on the present value of lease payments over the lease terms. Operating leases mainly relate to plants and offices, while finance leases consist of production equipment and vehicles. Rent expense is recognized on a straight-line basis over the lease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2022, the Group renewed leased plants with an original lease term expired on August 31, 2022 and extended the lease term for another five years to August, 2027.</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2023, the Group renewed leased equipment with original leases term expired on August 20, 2023 and extended the lease term for another five years to February 19, 2028. The Group will obtain control of the equipment upon maturity of the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Group renewed the lease for its production plants whose original lease term expired on November 30, 2025, and extended the lease term for another two years to November 30, 2027.</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24, 2024, the Group entered into a finance lease agreement for a vehicle with monthly payments through June 20, 2029. Ownership of the vehicle will transfer to the Group at lease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 information related to ROU assets and lease liabilities are as follows:</w:t>
      </w:r>
    </w:p>
    <w:p>
      <w:pPr>
        <w:pStyle w:val="TextBody"/>
        <w:bidi w:val="0"/>
        <w:spacing w:before="0" w:after="0"/>
        <w:ind w:left="360" w:right="0" w:hanging="0"/>
        <w:jc w:val="both"/>
        <w:rPr>
          <w:caps w:val="false"/>
          <w:smallCaps w:val="false"/>
        </w:rPr>
      </w:pPr>
      <w:r>
        <w:rPr>
          <w:caps w:val="false"/>
          <w:smallCaps w:val="false"/>
        </w:rPr>
        <w:t> </w:t>
      </w:r>
    </w:p>
    <w:tbl>
      <w:tblPr>
        <w:tblW w:w="9350" w:type="dxa"/>
        <w:jc w:val="left"/>
        <w:tblInd w:w="0" w:type="dxa"/>
        <w:tblLayout w:type="fixed"/>
        <w:tblCellMar>
          <w:top w:w="0" w:type="dxa"/>
          <w:left w:w="0" w:type="dxa"/>
          <w:bottom w:w="0" w:type="dxa"/>
          <w:right w:w="0" w:type="dxa"/>
        </w:tblCellMar>
      </w:tblPr>
      <w:tblGrid>
        <w:gridCol w:w="6515"/>
        <w:gridCol w:w="90"/>
        <w:gridCol w:w="170"/>
        <w:gridCol w:w="1010"/>
        <w:gridCol w:w="125"/>
        <w:gridCol w:w="90"/>
        <w:gridCol w:w="170"/>
        <w:gridCol w:w="1010"/>
        <w:gridCol w:w="170"/>
      </w:tblGrid>
      <w:tr>
        <w:trPr/>
        <w:tc>
          <w:tcPr>
            <w:tcW w:w="6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7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ind w:left="0" w:right="0" w:hanging="200"/>
              <w:jc w:val="left"/>
              <w:rPr/>
            </w:pPr>
            <w:r>
              <w:rPr/>
              <w:t> </w:t>
            </w:r>
          </w:p>
        </w:tc>
      </w:tr>
      <w:tr>
        <w:trPr/>
        <w:tc>
          <w:tcPr>
            <w:tcW w:w="6515"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1,792,622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1,835,921</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515" w:type="dxa"/>
            <w:tcBorders/>
            <w:vAlign w:val="center"/>
          </w:tcPr>
          <w:p>
            <w:pPr>
              <w:pStyle w:val="TableContents"/>
              <w:bidi w:val="0"/>
              <w:spacing w:before="0" w:after="283"/>
              <w:jc w:val="left"/>
              <w:rPr/>
            </w:pPr>
            <w:r>
              <w:rPr/>
              <w:t>Less: accumulated amortization of operating lease right-of-use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(924,204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(729,897</w:t>
            </w:r>
          </w:p>
        </w:tc>
        <w:tc>
          <w:tcPr>
            <w:tcW w:w="170" w:type="dxa"/>
            <w:tcBorders/>
            <w:vAlign w:val="center"/>
          </w:tcPr>
          <w:p>
            <w:pPr>
              <w:pStyle w:val="TableContents"/>
              <w:bidi w:val="0"/>
              <w:spacing w:before="0" w:after="283"/>
              <w:ind w:left="0" w:right="0" w:hanging="200"/>
              <w:jc w:val="left"/>
              <w:rPr/>
            </w:pPr>
            <w:r>
              <w:rPr/>
              <w:t>)</w:t>
            </w:r>
          </w:p>
        </w:tc>
      </w:tr>
      <w:tr>
        <w:trPr/>
        <w:tc>
          <w:tcPr>
            <w:tcW w:w="6515" w:type="dxa"/>
            <w:tcBorders/>
            <w:shd w:fill="CCEEFF" w:val="clear"/>
            <w:vAlign w:val="center"/>
          </w:tcPr>
          <w:p>
            <w:pPr>
              <w:pStyle w:val="TableContents"/>
              <w:bidi w:val="0"/>
              <w:spacing w:before="0" w:after="283"/>
              <w:jc w:val="left"/>
              <w:rPr>
                <w:b/>
              </w:rPr>
            </w:pPr>
            <w:r>
              <w:rPr>
                <w:b/>
              </w:rPr>
              <w:t>Operating lease right-of-use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868,418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1,106,024</w:t>
            </w:r>
          </w:p>
        </w:tc>
        <w:tc>
          <w:tcPr>
            <w:tcW w:w="170" w:type="dxa"/>
            <w:tcBorders/>
            <w:shd w:fill="CCEEFF" w:val="clear"/>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515" w:type="dxa"/>
            <w:tcBorders/>
            <w:shd w:fill="CCEEFF" w:val="clear"/>
            <w:vAlign w:val="center"/>
          </w:tcPr>
          <w:p>
            <w:pPr>
              <w:pStyle w:val="TableContents"/>
              <w:bidi w:val="0"/>
              <w:spacing w:before="0" w:after="283"/>
              <w:jc w:val="left"/>
              <w:rPr/>
            </w:pPr>
            <w:r>
              <w:rPr/>
              <w:t>Operating lease liabilities,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573,650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473,116</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515" w:type="dxa"/>
            <w:tcBorders/>
            <w:vAlign w:val="center"/>
          </w:tcPr>
          <w:p>
            <w:pPr>
              <w:pStyle w:val="TableContents"/>
              <w:bidi w:val="0"/>
              <w:spacing w:before="0" w:after="283"/>
              <w:jc w:val="left"/>
              <w:rPr/>
            </w:pPr>
            <w:r>
              <w:rPr/>
              <w:t>Operating lease liabilities, non-current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296,436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633,249</w:t>
            </w:r>
          </w:p>
        </w:tc>
        <w:tc>
          <w:tcPr>
            <w:tcW w:w="170" w:type="dxa"/>
            <w:tcBorders/>
            <w:vAlign w:val="center"/>
          </w:tcPr>
          <w:p>
            <w:pPr>
              <w:pStyle w:val="TableContents"/>
              <w:bidi w:val="0"/>
              <w:spacing w:before="0" w:after="283"/>
              <w:ind w:left="0" w:right="0" w:hanging="200"/>
              <w:jc w:val="left"/>
              <w:rPr/>
            </w:pPr>
            <w:r>
              <w:rPr/>
              <w:t> </w:t>
            </w:r>
          </w:p>
        </w:tc>
      </w:tr>
      <w:tr>
        <w:trPr/>
        <w:tc>
          <w:tcPr>
            <w:tcW w:w="6515" w:type="dxa"/>
            <w:tcBorders/>
            <w:shd w:fill="CCEEFF" w:val="clear"/>
            <w:vAlign w:val="center"/>
          </w:tcPr>
          <w:p>
            <w:pPr>
              <w:pStyle w:val="TableContents"/>
              <w:bidi w:val="0"/>
              <w:spacing w:before="0" w:after="283"/>
              <w:jc w:val="left"/>
              <w:rPr>
                <w:b/>
              </w:rPr>
            </w:pPr>
            <w:r>
              <w:rPr>
                <w:b/>
              </w:rPr>
              <w:t>Total 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870,086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1,106,365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0"/>
        <w:jc w:val="both"/>
        <w:rPr>
          <w:caps w:val="false"/>
          <w:smallCaps w:val="false"/>
        </w:rPr>
      </w:pPr>
      <w:r>
        <w:rPr>
          <w:caps w:val="false"/>
          <w:smallCaps w:val="false"/>
        </w:rPr>
        <w:t> </w:t>
      </w:r>
    </w:p>
    <w:tbl>
      <w:tblPr>
        <w:tblW w:w="8810" w:type="dxa"/>
        <w:jc w:val="left"/>
        <w:tblInd w:w="0" w:type="dxa"/>
        <w:tblLayout w:type="fixed"/>
        <w:tblCellMar>
          <w:top w:w="0" w:type="dxa"/>
          <w:left w:w="0" w:type="dxa"/>
          <w:bottom w:w="0" w:type="dxa"/>
          <w:right w:w="0" w:type="dxa"/>
        </w:tblCellMar>
      </w:tblPr>
      <w:tblGrid>
        <w:gridCol w:w="6335"/>
        <w:gridCol w:w="90"/>
        <w:gridCol w:w="170"/>
        <w:gridCol w:w="830"/>
        <w:gridCol w:w="125"/>
        <w:gridCol w:w="90"/>
        <w:gridCol w:w="170"/>
        <w:gridCol w:w="830"/>
        <w:gridCol w:w="170"/>
      </w:tblGrid>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pPr>
            <w:r>
              <w:rPr/>
              <w:t>Finance lease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214,314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203,764</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335" w:type="dxa"/>
            <w:tcBorders/>
            <w:vAlign w:val="center"/>
          </w:tcPr>
          <w:p>
            <w:pPr>
              <w:pStyle w:val="TableContents"/>
              <w:bidi w:val="0"/>
              <w:spacing w:before="0" w:after="283"/>
              <w:jc w:val="left"/>
              <w:rPr/>
            </w:pPr>
            <w:r>
              <w:rPr/>
              <w:t>Less: accumulated amortization of finance lease right-of-use-assets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(67,582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(9,286</w:t>
            </w:r>
          </w:p>
        </w:tc>
        <w:tc>
          <w:tcPr>
            <w:tcW w:w="170" w:type="dxa"/>
            <w:tcBorders/>
            <w:vAlign w:val="center"/>
          </w:tcPr>
          <w:p>
            <w:pPr>
              <w:pStyle w:val="TableContents"/>
              <w:bidi w:val="0"/>
              <w:spacing w:before="0" w:after="283"/>
              <w:ind w:left="0" w:right="0" w:hanging="200"/>
              <w:jc w:val="left"/>
              <w:rPr/>
            </w:pPr>
            <w:r>
              <w:rPr/>
              <w:t>)</w:t>
            </w:r>
          </w:p>
        </w:tc>
      </w:tr>
      <w:tr>
        <w:trPr/>
        <w:tc>
          <w:tcPr>
            <w:tcW w:w="6335" w:type="dxa"/>
            <w:tcBorders/>
            <w:shd w:fill="CCEEFF" w:val="clear"/>
            <w:vAlign w:val="center"/>
          </w:tcPr>
          <w:p>
            <w:pPr>
              <w:pStyle w:val="TableContents"/>
              <w:bidi w:val="0"/>
              <w:spacing w:before="0" w:after="283"/>
              <w:jc w:val="left"/>
              <w:rPr>
                <w:b/>
              </w:rPr>
            </w:pPr>
            <w:r>
              <w:rPr>
                <w:b/>
              </w:rPr>
              <w:t>Finance lease right-of-use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146,732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194,478</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pPr>
            <w:r>
              <w:rPr/>
              <w:t>Finance lease liabilities,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38,816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36,277</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335" w:type="dxa"/>
            <w:tcBorders/>
            <w:vAlign w:val="center"/>
          </w:tcPr>
          <w:p>
            <w:pPr>
              <w:pStyle w:val="TableContents"/>
              <w:bidi w:val="0"/>
              <w:spacing w:before="0" w:after="283"/>
              <w:jc w:val="left"/>
              <w:rPr/>
            </w:pPr>
            <w:r>
              <w:rPr/>
              <w:t>Finance lease liabilities, non-current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88,723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127,834</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b/>
              </w:rPr>
            </w:pPr>
            <w:r>
              <w:rPr>
                <w:b/>
              </w:rPr>
              <w:t>Total finance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127,539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164,111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discount rates for the operating lease and finance lease as of March 31, 2026 and 2025 are as follows:</w:t>
      </w:r>
    </w:p>
    <w:p>
      <w:pPr>
        <w:pStyle w:val="TextBody"/>
        <w:bidi w:val="0"/>
        <w:spacing w:before="0" w:after="0"/>
        <w:ind w:left="480" w:right="0" w:hanging="480"/>
        <w:jc w:val="both"/>
        <w:rPr>
          <w:caps w:val="false"/>
          <w:smallCaps w:val="false"/>
        </w:rPr>
      </w:pPr>
      <w:r>
        <w:rPr>
          <w:caps w:val="false"/>
          <w:smallCaps w:val="false"/>
        </w:rPr>
        <w:t> </w:t>
      </w:r>
    </w:p>
    <w:tbl>
      <w:tblPr>
        <w:tblW w:w="6883" w:type="dxa"/>
        <w:jc w:val="left"/>
        <w:tblInd w:w="0" w:type="dxa"/>
        <w:tblLayout w:type="fixed"/>
        <w:tblCellMar>
          <w:top w:w="0" w:type="dxa"/>
          <w:left w:w="0" w:type="dxa"/>
          <w:bottom w:w="0" w:type="dxa"/>
          <w:right w:w="0" w:type="dxa"/>
        </w:tblCellMar>
      </w:tblPr>
      <w:tblGrid>
        <w:gridCol w:w="4820"/>
        <w:gridCol w:w="90"/>
        <w:gridCol w:w="104"/>
        <w:gridCol w:w="544"/>
        <w:gridCol w:w="283"/>
        <w:gridCol w:w="104"/>
        <w:gridCol w:w="104"/>
        <w:gridCol w:w="544"/>
        <w:gridCol w:w="290"/>
      </w:tblGrid>
      <w:tr>
        <w:trPr/>
        <w:tc>
          <w:tcPr>
            <w:tcW w:w="4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290"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83"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Remaining lease term and discount rate:</w:t>
            </w:r>
          </w:p>
        </w:tc>
        <w:tc>
          <w:tcPr>
            <w:tcW w:w="90" w:type="dxa"/>
            <w:tcBorders/>
            <w:vAlign w:val="center"/>
          </w:tcPr>
          <w:p>
            <w:pPr>
              <w:pStyle w:val="TableContents"/>
              <w:bidi w:val="0"/>
              <w:spacing w:before="0" w:after="283"/>
              <w:jc w:val="left"/>
              <w:rPr/>
            </w:pPr>
            <w:r>
              <w:rPr/>
              <w:t> </w:t>
            </w:r>
          </w:p>
        </w:tc>
        <w:tc>
          <w:tcPr>
            <w:tcW w:w="648" w:type="dxa"/>
            <w:gridSpan w:val="2"/>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48"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b/>
              </w:rPr>
            </w:pPr>
            <w:r>
              <w:rPr>
                <w:b/>
              </w:rPr>
              <w:t>Weighted average remaining lease term (years)</w:t>
            </w:r>
          </w:p>
        </w:tc>
        <w:tc>
          <w:tcPr>
            <w:tcW w:w="90" w:type="dxa"/>
            <w:tcBorders/>
            <w:vAlign w:val="center"/>
          </w:tcPr>
          <w:p>
            <w:pPr>
              <w:pStyle w:val="TableContents"/>
              <w:bidi w:val="0"/>
              <w:spacing w:before="0" w:after="283"/>
              <w:jc w:val="left"/>
              <w:rPr/>
            </w:pPr>
            <w:r>
              <w:rPr/>
              <w:t> </w:t>
            </w:r>
          </w:p>
        </w:tc>
        <w:tc>
          <w:tcPr>
            <w:tcW w:w="648" w:type="dxa"/>
            <w:gridSpan w:val="2"/>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48"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Operating lease</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1.52</w:t>
            </w:r>
          </w:p>
        </w:tc>
        <w:tc>
          <w:tcPr>
            <w:tcW w:w="28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2.34</w:t>
            </w:r>
          </w:p>
        </w:tc>
        <w:tc>
          <w:tcPr>
            <w:tcW w:w="290"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Finance lease</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right"/>
              <w:rPr/>
            </w:pPr>
            <w:r>
              <w:rPr/>
              <w:t>3.12</w:t>
            </w:r>
          </w:p>
        </w:tc>
        <w:tc>
          <w:tcPr>
            <w:tcW w:w="283"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right"/>
              <w:rPr/>
            </w:pPr>
            <w:r>
              <w:rPr/>
              <w:t>4.11</w:t>
            </w:r>
          </w:p>
        </w:tc>
        <w:tc>
          <w:tcPr>
            <w:tcW w:w="29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b/>
                <w:sz w:val="20"/>
              </w:rPr>
            </w:pPr>
            <w:r>
              <w:rPr>
                <w:b/>
                <w:sz w:val="20"/>
              </w:rPr>
              <w:t xml:space="preserve">Weighted average discount rate </w:t>
            </w:r>
            <w:r>
              <w:rPr>
                <w:b/>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28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290"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Operating lease</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right"/>
              <w:rPr/>
            </w:pPr>
            <w:r>
              <w:rPr/>
              <w:t>4.33</w:t>
            </w:r>
          </w:p>
        </w:tc>
        <w:tc>
          <w:tcPr>
            <w:tcW w:w="283" w:type="dxa"/>
            <w:tcBorders/>
            <w:vAlign w:val="center"/>
          </w:tcPr>
          <w:p>
            <w:pPr>
              <w:pStyle w:val="TableContents"/>
              <w:bidi w:val="0"/>
              <w:spacing w:before="0" w:after="283"/>
              <w:jc w:val="left"/>
              <w:rPr/>
            </w:pPr>
            <w:r>
              <w:rPr/>
              <w:t>%</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right"/>
              <w:rPr/>
            </w:pPr>
            <w:r>
              <w:rPr/>
              <w:t>4.77</w:t>
            </w:r>
          </w:p>
        </w:tc>
        <w:tc>
          <w:tcPr>
            <w:tcW w:w="290" w:type="dxa"/>
            <w:tcBorders/>
            <w:vAlign w:val="center"/>
          </w:tcPr>
          <w:p>
            <w:pPr>
              <w:pStyle w:val="TableContents"/>
              <w:bidi w:val="0"/>
              <w:spacing w:before="0" w:after="283"/>
              <w:jc w:val="left"/>
              <w:rPr/>
            </w:pPr>
            <w:r>
              <w:rPr/>
              <w:t>%</w:t>
            </w:r>
          </w:p>
        </w:tc>
      </w:tr>
      <w:tr>
        <w:trPr/>
        <w:tc>
          <w:tcPr>
            <w:tcW w:w="4820" w:type="dxa"/>
            <w:tcBorders/>
            <w:shd w:fill="CCEEFF" w:val="clear"/>
            <w:vAlign w:val="center"/>
          </w:tcPr>
          <w:p>
            <w:pPr>
              <w:pStyle w:val="TableContents"/>
              <w:bidi w:val="0"/>
              <w:spacing w:before="0" w:after="283"/>
              <w:jc w:val="left"/>
              <w:rPr/>
            </w:pPr>
            <w:r>
              <w:rPr/>
              <w:t>Finance lease</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6.02</w:t>
            </w:r>
          </w:p>
        </w:tc>
        <w:tc>
          <w:tcPr>
            <w:tcW w:w="283"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6.15</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sz w:val="20"/>
              </w:rPr>
            </w:pPr>
            <w:r>
              <w:rPr>
                <w:sz w:val="20"/>
              </w:rPr>
              <w:t>(1)</w:t>
            </w:r>
          </w:p>
        </w:tc>
        <w:tc>
          <w:tcPr>
            <w:tcW w:w="9966" w:type="dxa"/>
            <w:tcBorders/>
            <w:vAlign w:val="center"/>
          </w:tcPr>
          <w:p>
            <w:pPr>
              <w:pStyle w:val="TableContents"/>
              <w:bidi w:val="0"/>
              <w:spacing w:before="0" w:after="283"/>
              <w:jc w:val="both"/>
              <w:rPr>
                <w:sz w:val="20"/>
              </w:rPr>
            </w:pPr>
            <w:r>
              <w:rPr>
                <w:sz w:val="20"/>
              </w:rPr>
              <w:t>The weighted-average discount rate is calculated on the basis of both (i) the discount rate for the lease that was used to calculate the lease liability balance for each lease as of the reporting date; and (ii) the remaining balance of the lease payments for each lease as of the reporting date. The Company’s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expenses for the years ended March 31, 2026, 2025 and 2024 are as follows:</w:t>
      </w:r>
    </w:p>
    <w:p>
      <w:pPr>
        <w:pStyle w:val="TextBody"/>
        <w:bidi w:val="0"/>
        <w:spacing w:before="0" w:after="0"/>
        <w:ind w:left="360" w:right="0" w:hanging="0"/>
        <w:jc w:val="both"/>
        <w:rPr>
          <w:caps w:val="false"/>
          <w:smallCaps w:val="false"/>
        </w:rPr>
      </w:pPr>
      <w:r>
        <w:rPr>
          <w:caps w:val="false"/>
          <w:smallCaps w:val="false"/>
        </w:rPr>
        <w:t> </w:t>
      </w:r>
    </w:p>
    <w:tbl>
      <w:tblPr>
        <w:tblW w:w="6710" w:type="dxa"/>
        <w:jc w:val="left"/>
        <w:tblInd w:w="0" w:type="dxa"/>
        <w:tblLayout w:type="fixed"/>
        <w:tblCellMar>
          <w:top w:w="0" w:type="dxa"/>
          <w:left w:w="0" w:type="dxa"/>
          <w:bottom w:w="0" w:type="dxa"/>
          <w:right w:w="0" w:type="dxa"/>
        </w:tblCellMar>
      </w:tblPr>
      <w:tblGrid>
        <w:gridCol w:w="3125"/>
        <w:gridCol w:w="90"/>
        <w:gridCol w:w="170"/>
        <w:gridCol w:w="830"/>
        <w:gridCol w:w="90"/>
        <w:gridCol w:w="90"/>
        <w:gridCol w:w="170"/>
        <w:gridCol w:w="830"/>
        <w:gridCol w:w="90"/>
        <w:gridCol w:w="90"/>
        <w:gridCol w:w="170"/>
        <w:gridCol w:w="830"/>
        <w:gridCol w:w="135"/>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Operating lease:</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Operating lease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581,553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567,188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589,105</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Short-term lease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49,024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45,086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86,084</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rPr>
            </w:pPr>
            <w:r>
              <w:rPr>
                <w:b/>
              </w:rPr>
              <w:t>Total operating lease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630,577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612,274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675,189</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Finance leases: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Amortization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15,301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4,675</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3,251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888</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rPr>
            </w:pPr>
            <w:r>
              <w:rPr>
                <w:b/>
              </w:rPr>
              <w:t>Total finance lease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56,595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18,552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5,563</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b/>
              </w:rPr>
            </w:pPr>
            <w:r>
              <w:rPr>
                <w:b/>
              </w:rPr>
              <w:t>Total lease expenses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687,172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630,826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680,752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March 31, 2026, 2025 and 2024, cash paid for operating leases were $581,553, $571,159 and $575,014, and cash paid for finance leases were $45,580, $49,345 and $4,322,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maturity of lease liabilities and future minimum payments of leases as of March 31, 2026:</w:t>
      </w:r>
    </w:p>
    <w:p>
      <w:pPr>
        <w:pStyle w:val="TextBody"/>
        <w:bidi w:val="0"/>
        <w:spacing w:before="0" w:after="0"/>
        <w:ind w:left="360" w:right="0" w:hanging="0"/>
        <w:jc w:val="both"/>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435"/>
        <w:gridCol w:w="90"/>
        <w:gridCol w:w="184"/>
        <w:gridCol w:w="901"/>
        <w:gridCol w:w="125"/>
        <w:gridCol w:w="90"/>
        <w:gridCol w:w="170"/>
        <w:gridCol w:w="830"/>
        <w:gridCol w:w="170"/>
      </w:tblGrid>
      <w:tr>
        <w:trPr/>
        <w:tc>
          <w:tcPr>
            <w:tcW w:w="24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w:t>
              <w:br/>
              <w:t>lease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Finance</w:t>
              <w:br/>
              <w:t>lease</w:t>
            </w:r>
          </w:p>
        </w:tc>
        <w:tc>
          <w:tcPr>
            <w:tcW w:w="17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b/>
              </w:rPr>
            </w:pPr>
            <w:r>
              <w:rPr>
                <w:b/>
              </w:rPr>
              <w:t>Year ending March 31,</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2027</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597,686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45,549</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2028</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295,205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44,650</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2029</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4,049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40,160</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2030</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10,040</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b/>
              </w:rPr>
            </w:pPr>
            <w:r>
              <w:rPr>
                <w:b/>
              </w:rPr>
              <w:t>Total lease payments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b/>
              </w:rPr>
            </w:pPr>
            <w:r>
              <w:rPr>
                <w:b/>
              </w:rPr>
              <w:t>896,940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140,399</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Less: imputed interest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(26,854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(12,860</w:t>
            </w:r>
          </w:p>
        </w:tc>
        <w:tc>
          <w:tcPr>
            <w:tcW w:w="170" w:type="dxa"/>
            <w:tcBorders/>
            <w:vAlign w:val="center"/>
          </w:tcPr>
          <w:p>
            <w:pPr>
              <w:pStyle w:val="TableContents"/>
              <w:bidi w:val="0"/>
              <w:spacing w:before="0" w:after="283"/>
              <w:jc w:val="left"/>
              <w:rPr/>
            </w:pPr>
            <w:r>
              <w:rPr/>
              <w:t>)</w:t>
            </w:r>
          </w:p>
        </w:tc>
      </w:tr>
      <w:tr>
        <w:trPr/>
        <w:tc>
          <w:tcPr>
            <w:tcW w:w="2435" w:type="dxa"/>
            <w:tcBorders/>
            <w:shd w:fill="CCEEFF" w:val="clear"/>
            <w:vAlign w:val="center"/>
          </w:tcPr>
          <w:p>
            <w:pPr>
              <w:pStyle w:val="TableContents"/>
              <w:bidi w:val="0"/>
              <w:spacing w:before="0" w:after="283"/>
              <w:jc w:val="left"/>
              <w:rPr>
                <w:b/>
              </w:rPr>
            </w:pPr>
            <w:r>
              <w:rPr>
                <w:b/>
              </w:rPr>
              <w:t>Total lease liabilities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870,086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127,539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8"/>
        <w:gridCol w:w="1949"/>
        <w:gridCol w:w="7878"/>
      </w:tblGrid>
      <w:tr>
        <w:trPr/>
        <w:tc>
          <w:tcPr>
            <w:tcW w:w="37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b/>
              </w:rPr>
            </w:pPr>
            <w:r>
              <w:rPr>
                <w:b/>
              </w:rPr>
              <w:t>12.</w:t>
            </w:r>
          </w:p>
        </w:tc>
        <w:tc>
          <w:tcPr>
            <w:tcW w:w="7878" w:type="dxa"/>
            <w:tcBorders/>
            <w:vAlign w:val="center"/>
          </w:tcPr>
          <w:p>
            <w:pPr>
              <w:pStyle w:val="TableContents"/>
              <w:bidi w:val="0"/>
              <w:spacing w:before="0" w:after="283"/>
              <w:jc w:val="both"/>
              <w:rPr>
                <w:b/>
              </w:rPr>
            </w:pPr>
            <w:r>
              <w:rPr>
                <w:b/>
              </w:rPr>
              <w:t>TAXATION</w:t>
            </w:r>
          </w:p>
        </w:tc>
      </w:tr>
    </w:tbl>
    <w:p>
      <w:pPr>
        <w:pStyle w:val="TextBody"/>
        <w:bidi w:val="0"/>
        <w:spacing w:before="0" w:after="0"/>
        <w:ind w:left="482"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and British Virgin Islands (“BVI”)</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and the BVI, the Group is not subject to income or capital gains taxes. In addition, dividend payments are not subject to withholdings tax in the Cayman Islands or the BVI.</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Tax (Amendment) (No. 3) Ordinance 2019 published by Hong Kong government, effective April 1, 2019, under the two-tiered profits tax rates regime, the profits tax rate for the first HK$ 2 million of assessable profits was reduced to 8.25% (half of the rate specified in Schedule 8 to the Inland Revenue Ordinance (IRO)) for corporations, while the remaining profits will continue to be taxed at the existing 16.5% tax rate. CCSC Technology Group and CCSC Interconnect HK were subject to Hong Kong profit tax during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Serbia</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CCSC Technology Serbia, which was incorporated and operated in the Serbia, is subject to enterprise income tax on its worldwide taxable income, as determined under the tax laws and accounting standards, at a rate of 15%. CCSC Technology Serbia was not subject to any income tax, as it was established in February 2024 and did not have taxable income for the years ended March 31, 2026, 2025 and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Netherlands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Interconnect NL, which was incorporated in the Netherlands, is subject to enterprise income tax on their worldwide taxable income, as determined under the tax laws and accounting standards, at a rate of 19% (15% in 2022) for the first EUR 200,000 (EUR 395,000 in 2022) of profits earned by CCSC Interconnect NL, and the remaining profits will continue to be taxed at the existing 25.8% tax rate in 2026, 2025 and 2024. CCSC Interconnect NL was not subject to income tax, as it had no taxable income during the periods presented.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CCSC Interconnect DG is considered mainland China resident enterprises under the PRC tax law, are subject to enterprise income tax on their worldwide taxable income, as determined under the PRC tax laws and accounting standards at a statutory income tax rate of 25%.</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implementation rules of Enterprise Income Tax Laws of the PRC (the “EIT Laws”), a qualified “High and New Technology Enterprise” (“HNTE”) is eligible for a preferential tax rate of 15%. The HNTE certificate is effective for a period of three years. An entity may re-apply for the HNTE certificate when the prior certificate expires. The Group’s subsidiary, CCSC Interconnect DG, has qualified as a HNTE since December 2, 2019, and remains eligible to enjoy the preferential tax rate of 15% subject to taxable income under the EIT Laws to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HNTE-related tax saving, and no corresponding favorable impact on basic and diluted earnings per share, were recognized for the years ended March 31, 2026, 2025 and 2024 due to the continuous taxable losses incurred by CCSC Interconnect DG during these periods.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EIT Laws also impose a withholding income tax of 10% on dividends distributed by a Foreign Investment Enterprise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the PRC and Hong Kong Special Administrative Region on the Avoidance of Double Taxation and Prevention of Fiscal Evasion in August 2006, dividends paid by an FIE in China to its immediate holding company in Hong Kong will be subject to withholding tax at a rate of no more than 5% (if the FIE satisfies the criteria for “beneficial owner” under Circular No. 9, which was issued by the State Administration of Taxation in February 2018, and the foreign investor owns directly at least 25% of the shares of the FIE). The Group did not record any dividend withholding tax on the retained earnings of its FIEs China, as the Group intends to reinvest all earnings in China to further expand its business in China, and its FIEs do not intend to declare dividends on the retained earnings to their immediate foreign holding companies.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adoption of the ASU 2023-09 on April 1, 2025, the disclosure and presentation below were retrospectively amended.</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provision consisted of the following components:</w:t>
      </w:r>
    </w:p>
    <w:p>
      <w:pPr>
        <w:pStyle w:val="TextBody"/>
        <w:bidi w:val="0"/>
        <w:spacing w:before="0" w:after="0"/>
        <w:ind w:left="360" w:right="0" w:hanging="0"/>
        <w:jc w:val="both"/>
        <w:rPr>
          <w:caps w:val="false"/>
          <w:smallCaps w:val="false"/>
        </w:rPr>
      </w:pPr>
      <w:r>
        <w:rPr>
          <w:caps w:val="false"/>
          <w:smallCaps w:val="false"/>
        </w:rPr>
        <w:t> </w:t>
      </w:r>
    </w:p>
    <w:tbl>
      <w:tblPr>
        <w:tblW w:w="9470" w:type="dxa"/>
        <w:jc w:val="left"/>
        <w:tblInd w:w="0" w:type="dxa"/>
        <w:tblLayout w:type="fixed"/>
        <w:tblCellMar>
          <w:top w:w="0" w:type="dxa"/>
          <w:left w:w="0" w:type="dxa"/>
          <w:bottom w:w="0" w:type="dxa"/>
          <w:right w:w="0" w:type="dxa"/>
        </w:tblCellMar>
      </w:tblPr>
      <w:tblGrid>
        <w:gridCol w:w="5630"/>
        <w:gridCol w:w="90"/>
        <w:gridCol w:w="170"/>
        <w:gridCol w:w="830"/>
        <w:gridCol w:w="125"/>
        <w:gridCol w:w="90"/>
        <w:gridCol w:w="170"/>
        <w:gridCol w:w="905"/>
        <w:gridCol w:w="125"/>
        <w:gridCol w:w="90"/>
        <w:gridCol w:w="170"/>
        <w:gridCol w:w="905"/>
        <w:gridCol w:w="170"/>
      </w:tblGrid>
      <w:tr>
        <w:trPr/>
        <w:tc>
          <w:tcPr>
            <w:tcW w:w="5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7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b/>
              </w:rPr>
            </w:pPr>
            <w:r>
              <w:rPr>
                <w:b/>
              </w:rPr>
              <w:t>Current income tax expense:</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PRC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Hong Kong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Serbia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True up adjustments for income tax expense for prior years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416,175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163,556</w:t>
            </w:r>
          </w:p>
        </w:tc>
        <w:tc>
          <w:tcPr>
            <w:tcW w:w="17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Total current 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416,175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163,556</w:t>
            </w:r>
          </w:p>
        </w:tc>
        <w:tc>
          <w:tcPr>
            <w:tcW w:w="170"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b/>
              </w:rPr>
            </w:pPr>
            <w:r>
              <w:rPr>
                <w:b/>
              </w:rPr>
              <w:t>Deferred income tax expense/(benefit):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PRC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362,687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(114,666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(203,986</w:t>
            </w:r>
          </w:p>
        </w:tc>
        <w:tc>
          <w:tcPr>
            <w:tcW w:w="170" w:type="dxa"/>
            <w:tcBorders/>
            <w:shd w:fill="CCEEFF" w:val="clear"/>
            <w:vAlign w:val="center"/>
          </w:tcPr>
          <w:p>
            <w:pPr>
              <w:pStyle w:val="TableContents"/>
              <w:bidi w:val="0"/>
              <w:spacing w:before="0" w:after="283"/>
              <w:jc w:val="left"/>
              <w:rPr/>
            </w:pPr>
            <w:r>
              <w:rPr/>
              <w:t>)</w:t>
            </w:r>
          </w:p>
        </w:tc>
      </w:tr>
      <w:tr>
        <w:trPr/>
        <w:tc>
          <w:tcPr>
            <w:tcW w:w="5630" w:type="dxa"/>
            <w:tcBorders/>
            <w:vAlign w:val="center"/>
          </w:tcPr>
          <w:p>
            <w:pPr>
              <w:pStyle w:val="TableContents"/>
              <w:bidi w:val="0"/>
              <w:spacing w:before="0" w:after="283"/>
              <w:jc w:val="left"/>
              <w:rPr/>
            </w:pPr>
            <w:r>
              <w:rPr/>
              <w:t>Hong Kong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192,478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(146,899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(45,906</w:t>
            </w:r>
          </w:p>
        </w:tc>
        <w:tc>
          <w:tcPr>
            <w:tcW w:w="170" w:type="dxa"/>
            <w:tcBorders/>
            <w:vAlign w:val="center"/>
          </w:tcPr>
          <w:p>
            <w:pPr>
              <w:pStyle w:val="TableContents"/>
              <w:bidi w:val="0"/>
              <w:spacing w:before="0" w:after="283"/>
              <w:jc w:val="left"/>
              <w:rPr/>
            </w:pPr>
            <w:r>
              <w:rPr/>
              <w:t>)</w:t>
            </w:r>
          </w:p>
        </w:tc>
      </w:tr>
      <w:tr>
        <w:trPr/>
        <w:tc>
          <w:tcPr>
            <w:tcW w:w="5630"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(9,775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(8,937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Total deferred income tax expense/(benefit)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545,390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(270,502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(249,892</w:t>
            </w:r>
          </w:p>
        </w:tc>
        <w:tc>
          <w:tcPr>
            <w:tcW w:w="170" w:type="dxa"/>
            <w:tcBorders/>
            <w:vAlign w:val="center"/>
          </w:tcPr>
          <w:p>
            <w:pPr>
              <w:pStyle w:val="TableContents"/>
              <w:bidi w:val="0"/>
              <w:spacing w:before="0" w:after="283"/>
              <w:jc w:val="left"/>
              <w:rPr/>
            </w:pPr>
            <w:r>
              <w:rPr/>
              <w:t>)</w:t>
            </w:r>
          </w:p>
        </w:tc>
      </w:tr>
      <w:tr>
        <w:trPr/>
        <w:tc>
          <w:tcPr>
            <w:tcW w:w="5630" w:type="dxa"/>
            <w:tcBorders/>
            <w:shd w:fill="CCEEFF" w:val="clear"/>
            <w:vAlign w:val="center"/>
          </w:tcPr>
          <w:p>
            <w:pPr>
              <w:pStyle w:val="TableContents"/>
              <w:bidi w:val="0"/>
              <w:spacing w:before="0" w:after="283"/>
              <w:jc w:val="left"/>
              <w:rPr>
                <w:b/>
              </w:rPr>
            </w:pPr>
            <w:r>
              <w:rPr>
                <w:b/>
              </w:rPr>
              <w:t>Total income tax expense/(benefit)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961,565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(270,502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(86,336</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pretax income by major tax jurisdictions is as follows:</w:t>
      </w:r>
    </w:p>
    <w:p>
      <w:pPr>
        <w:pStyle w:val="TextBody"/>
        <w:bidi w:val="0"/>
        <w:spacing w:before="0" w:after="0"/>
        <w:ind w:left="48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1520"/>
        <w:gridCol w:w="90"/>
        <w:gridCol w:w="170"/>
        <w:gridCol w:w="1085"/>
        <w:gridCol w:w="125"/>
        <w:gridCol w:w="90"/>
        <w:gridCol w:w="170"/>
        <w:gridCol w:w="1085"/>
        <w:gridCol w:w="125"/>
        <w:gridCol w:w="90"/>
        <w:gridCol w:w="170"/>
        <w:gridCol w:w="1085"/>
        <w:gridCol w:w="170"/>
      </w:tblGrid>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7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Loss before tax</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PRC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(308,482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(107,958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(784,125</w:t>
            </w:r>
          </w:p>
        </w:tc>
        <w:tc>
          <w:tcPr>
            <w:tcW w:w="170" w:type="dxa"/>
            <w:tcBorders/>
            <w:shd w:fill="CCEEFF" w:val="clear"/>
            <w:vAlign w:val="center"/>
          </w:tcPr>
          <w:p>
            <w:pPr>
              <w:pStyle w:val="TableContents"/>
              <w:bidi w:val="0"/>
              <w:spacing w:before="0" w:after="283"/>
              <w:jc w:val="left"/>
              <w:rPr/>
            </w:pPr>
            <w:r>
              <w:rPr/>
              <w:t>)</w:t>
            </w:r>
          </w:p>
        </w:tc>
      </w:tr>
      <w:tr>
        <w:trPr/>
        <w:tc>
          <w:tcPr>
            <w:tcW w:w="1520" w:type="dxa"/>
            <w:tcBorders/>
            <w:vAlign w:val="center"/>
          </w:tcPr>
          <w:p>
            <w:pPr>
              <w:pStyle w:val="TableContents"/>
              <w:bidi w:val="0"/>
              <w:spacing w:before="0" w:after="283"/>
              <w:jc w:val="left"/>
              <w:rPr/>
            </w:pPr>
            <w:r>
              <w:rPr/>
              <w:t>Hong Kong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(2,497,209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(1,193,796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(647,181</w:t>
            </w:r>
          </w:p>
        </w:tc>
        <w:tc>
          <w:tcPr>
            <w:tcW w:w="170" w:type="dxa"/>
            <w:tcBorders/>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pPr>
            <w:r>
              <w:rPr/>
              <w:t>Serbia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(65,166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(59,577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(973,139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(319,636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49,807</w:t>
            </w:r>
          </w:p>
        </w:tc>
        <w:tc>
          <w:tcPr>
            <w:tcW w:w="17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(3,843,996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(1,680,967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(1,381,499</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the Group’s actual provision for income taxes and the provision under the PRC statutory rate is as follows:</w:t>
      </w:r>
    </w:p>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8"/>
        <w:gridCol w:w="90"/>
        <w:gridCol w:w="170"/>
        <w:gridCol w:w="1010"/>
        <w:gridCol w:w="125"/>
        <w:gridCol w:w="90"/>
        <w:gridCol w:w="166"/>
        <w:gridCol w:w="1009"/>
        <w:gridCol w:w="290"/>
        <w:gridCol w:w="90"/>
        <w:gridCol w:w="170"/>
        <w:gridCol w:w="905"/>
        <w:gridCol w:w="125"/>
        <w:gridCol w:w="90"/>
        <w:gridCol w:w="166"/>
        <w:gridCol w:w="1009"/>
        <w:gridCol w:w="290"/>
        <w:gridCol w:w="90"/>
        <w:gridCol w:w="170"/>
        <w:gridCol w:w="905"/>
        <w:gridCol w:w="125"/>
        <w:gridCol w:w="90"/>
        <w:gridCol w:w="166"/>
        <w:gridCol w:w="1009"/>
        <w:gridCol w:w="337"/>
      </w:tblGrid>
      <w:tr>
        <w:trPr/>
        <w:tc>
          <w:tcPr>
            <w:tcW w:w="1518"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26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337" w:type="dxa"/>
            <w:tcBorders/>
            <w:vAlign w:val="center"/>
          </w:tcPr>
          <w:p>
            <w:pPr>
              <w:pStyle w:val="TableContents"/>
              <w:bidi w:val="0"/>
              <w:spacing w:before="0" w:after="283"/>
              <w:ind w:left="0" w:right="0" w:hanging="180"/>
              <w:jc w:val="left"/>
              <w:rPr/>
            </w:pPr>
            <w:r>
              <w:rPr/>
              <w:t> </w:t>
            </w:r>
          </w:p>
        </w:tc>
      </w:tr>
      <w:tr>
        <w:trPr/>
        <w:tc>
          <w:tcPr>
            <w:tcW w:w="15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37" w:type="dxa"/>
            <w:tcBorders/>
            <w:vAlign w:val="center"/>
          </w:tcPr>
          <w:p>
            <w:pPr>
              <w:pStyle w:val="TableContents"/>
              <w:bidi w:val="0"/>
              <w:spacing w:before="0" w:after="283"/>
              <w:ind w:left="0" w:right="0" w:hanging="180"/>
              <w:jc w:val="left"/>
              <w:rPr/>
            </w:pPr>
            <w:r>
              <w:rPr/>
              <w:t> </w:t>
            </w:r>
          </w:p>
        </w:tc>
      </w:tr>
      <w:tr>
        <w:trPr/>
        <w:tc>
          <w:tcPr>
            <w:tcW w:w="15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337" w:type="dxa"/>
            <w:tcBorders/>
            <w:vAlign w:val="center"/>
          </w:tcPr>
          <w:p>
            <w:pPr>
              <w:pStyle w:val="TableContents"/>
              <w:bidi w:val="0"/>
              <w:spacing w:before="0" w:after="283"/>
              <w:ind w:left="0" w:right="0" w:hanging="180"/>
              <w:jc w:val="left"/>
              <w:rPr/>
            </w:pPr>
            <w:r>
              <w:rPr/>
              <w:t> </w:t>
            </w:r>
          </w:p>
        </w:tc>
      </w:tr>
      <w:tr>
        <w:trPr/>
        <w:tc>
          <w:tcPr>
            <w:tcW w:w="1518" w:type="dxa"/>
            <w:tcBorders/>
            <w:shd w:fill="CCEEFF" w:val="clear"/>
            <w:vAlign w:val="center"/>
          </w:tcPr>
          <w:p>
            <w:pPr>
              <w:pStyle w:val="TableContents"/>
              <w:bidi w:val="0"/>
              <w:spacing w:before="0" w:after="283"/>
              <w:jc w:val="left"/>
              <w:rPr/>
            </w:pPr>
            <w:r>
              <w:rPr/>
              <w:t>Computed income tax benefit with statutory Enterprise Income Tax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(960,999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(420,242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(345,375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25.0</w:t>
            </w:r>
          </w:p>
        </w:tc>
        <w:tc>
          <w:tcPr>
            <w:tcW w:w="337" w:type="dxa"/>
            <w:tcBorders/>
            <w:shd w:fill="CCEEFF" w:val="clear"/>
            <w:vAlign w:val="center"/>
          </w:tcPr>
          <w:p>
            <w:pPr>
              <w:pStyle w:val="TableContents"/>
              <w:bidi w:val="0"/>
              <w:spacing w:before="0" w:after="283"/>
              <w:ind w:left="0" w:right="0" w:hanging="180"/>
              <w:jc w:val="left"/>
              <w:rPr/>
            </w:pPr>
            <w:r>
              <w:rPr/>
              <w:t>%</w:t>
            </w:r>
          </w:p>
        </w:tc>
      </w:tr>
      <w:tr>
        <w:trPr/>
        <w:tc>
          <w:tcPr>
            <w:tcW w:w="1518" w:type="dxa"/>
            <w:tcBorders/>
            <w:vAlign w:val="center"/>
          </w:tcPr>
          <w:p>
            <w:pPr>
              <w:pStyle w:val="TableContents"/>
              <w:bidi w:val="0"/>
              <w:spacing w:before="0" w:after="283"/>
              <w:jc w:val="left"/>
              <w:rPr/>
            </w:pPr>
            <w:r>
              <w:rPr/>
              <w:t>Additional deduction for R&amp;D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(174,405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4.5</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(163,510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9.7</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(148,630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10.8</w:t>
            </w:r>
          </w:p>
        </w:tc>
        <w:tc>
          <w:tcPr>
            <w:tcW w:w="337" w:type="dxa"/>
            <w:tcBorders/>
            <w:vAlign w:val="center"/>
          </w:tcPr>
          <w:p>
            <w:pPr>
              <w:pStyle w:val="TableContents"/>
              <w:bidi w:val="0"/>
              <w:spacing w:before="0" w:after="283"/>
              <w:ind w:left="0" w:right="0" w:hanging="180"/>
              <w:jc w:val="left"/>
              <w:rPr/>
            </w:pPr>
            <w:r>
              <w:rPr/>
              <w:t>%</w:t>
            </w:r>
          </w:p>
        </w:tc>
      </w:tr>
      <w:tr>
        <w:trPr/>
        <w:tc>
          <w:tcPr>
            <w:tcW w:w="1518" w:type="dxa"/>
            <w:tcBorders/>
            <w:shd w:fill="CCEEFF" w:val="clear"/>
            <w:vAlign w:val="center"/>
          </w:tcPr>
          <w:p>
            <w:pPr>
              <w:pStyle w:val="TableContents"/>
              <w:bidi w:val="0"/>
              <w:spacing w:before="0" w:after="283"/>
              <w:jc w:val="left"/>
              <w:rPr/>
            </w:pPr>
            <w:r>
              <w:rPr/>
              <w:t>Effect of preferential tax rates for PRC subsidiary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95,528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76,444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(4.5</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135,991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(9.8</w:t>
            </w:r>
          </w:p>
        </w:tc>
        <w:tc>
          <w:tcPr>
            <w:tcW w:w="337" w:type="dxa"/>
            <w:tcBorders/>
            <w:shd w:fill="CCEEFF" w:val="clear"/>
            <w:vAlign w:val="center"/>
          </w:tcPr>
          <w:p>
            <w:pPr>
              <w:pStyle w:val="TableContents"/>
              <w:bidi w:val="0"/>
              <w:spacing w:before="0" w:after="283"/>
              <w:ind w:left="0" w:right="0" w:hanging="180"/>
              <w:jc w:val="left"/>
              <w:rPr/>
            </w:pPr>
            <w:r>
              <w:rPr/>
              <w:t>%)</w:t>
            </w:r>
          </w:p>
        </w:tc>
      </w:tr>
      <w:tr>
        <w:trPr/>
        <w:tc>
          <w:tcPr>
            <w:tcW w:w="1518" w:type="dxa"/>
            <w:tcBorders/>
            <w:vAlign w:val="center"/>
          </w:tcPr>
          <w:p>
            <w:pPr>
              <w:pStyle w:val="TableContents"/>
              <w:bidi w:val="0"/>
              <w:spacing w:before="0" w:after="283"/>
              <w:jc w:val="left"/>
              <w:rPr/>
            </w:pPr>
            <w:r>
              <w:rPr/>
              <w:t>Changes in valuation allowance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1,058,058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(27.5</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(29,730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1.8</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29,751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(2.2</w:t>
            </w:r>
          </w:p>
        </w:tc>
        <w:tc>
          <w:tcPr>
            <w:tcW w:w="337" w:type="dxa"/>
            <w:tcBorders/>
            <w:vAlign w:val="center"/>
          </w:tcPr>
          <w:p>
            <w:pPr>
              <w:pStyle w:val="TableContents"/>
              <w:bidi w:val="0"/>
              <w:spacing w:before="0" w:after="283"/>
              <w:ind w:left="0" w:right="0" w:hanging="180"/>
              <w:jc w:val="left"/>
              <w:rPr/>
            </w:pPr>
            <w:r>
              <w:rPr/>
              <w:t>%)</w:t>
            </w:r>
          </w:p>
        </w:tc>
      </w:tr>
      <w:tr>
        <w:trPr/>
        <w:tc>
          <w:tcPr>
            <w:tcW w:w="1518" w:type="dxa"/>
            <w:tcBorders/>
            <w:shd w:fill="CCEEFF" w:val="clear"/>
            <w:vAlign w:val="center"/>
          </w:tcPr>
          <w:p>
            <w:pPr>
              <w:pStyle w:val="TableContents"/>
              <w:bidi w:val="0"/>
              <w:spacing w:before="0" w:after="283"/>
              <w:jc w:val="left"/>
              <w:rPr/>
            </w:pPr>
            <w:r>
              <w:rPr/>
              <w:t>Effect of different tax rates in jurisdictions other than PRC*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279,921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(7.3</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305,832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(18.2</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56,280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(4.1</w:t>
            </w:r>
          </w:p>
        </w:tc>
        <w:tc>
          <w:tcPr>
            <w:tcW w:w="337" w:type="dxa"/>
            <w:tcBorders/>
            <w:shd w:fill="CCEEFF" w:val="clear"/>
            <w:vAlign w:val="center"/>
          </w:tcPr>
          <w:p>
            <w:pPr>
              <w:pStyle w:val="TableContents"/>
              <w:bidi w:val="0"/>
              <w:spacing w:before="0" w:after="283"/>
              <w:ind w:left="0" w:right="0" w:hanging="180"/>
              <w:jc w:val="left"/>
              <w:rPr/>
            </w:pPr>
            <w:r>
              <w:rPr/>
              <w:t>%)</w:t>
            </w:r>
          </w:p>
        </w:tc>
      </w:tr>
      <w:tr>
        <w:trPr/>
        <w:tc>
          <w:tcPr>
            <w:tcW w:w="1518" w:type="dxa"/>
            <w:tcBorders/>
            <w:vAlign w:val="center"/>
          </w:tcPr>
          <w:p>
            <w:pPr>
              <w:pStyle w:val="TableContents"/>
              <w:bidi w:val="0"/>
              <w:spacing w:before="0" w:after="283"/>
              <w:jc w:val="left"/>
              <w:rPr/>
            </w:pPr>
            <w:r>
              <w:rPr/>
              <w:t>True up adjustments for income tax expense for prior years**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416,175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(10.8</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0"/>
              <w:jc w:val="right"/>
              <w:rPr/>
            </w:pPr>
            <w:r>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163,556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(11.8</w:t>
            </w:r>
          </w:p>
        </w:tc>
        <w:tc>
          <w:tcPr>
            <w:tcW w:w="337" w:type="dxa"/>
            <w:tcBorders/>
            <w:vAlign w:val="center"/>
          </w:tcPr>
          <w:p>
            <w:pPr>
              <w:pStyle w:val="TableContents"/>
              <w:bidi w:val="0"/>
              <w:spacing w:before="0" w:after="283"/>
              <w:ind w:left="0" w:right="0" w:hanging="180"/>
              <w:jc w:val="left"/>
              <w:rPr/>
            </w:pPr>
            <w:r>
              <w:rPr/>
              <w:t>%)</w:t>
            </w:r>
          </w:p>
        </w:tc>
      </w:tr>
      <w:tr>
        <w:trPr/>
        <w:tc>
          <w:tcPr>
            <w:tcW w:w="1518" w:type="dxa"/>
            <w:tcBorders/>
            <w:shd w:fill="CCEEFF" w:val="clear"/>
            <w:vAlign w:val="center"/>
          </w:tcPr>
          <w:p>
            <w:pPr>
              <w:pStyle w:val="TableContents"/>
              <w:bidi w:val="0"/>
              <w:spacing w:before="0" w:after="283"/>
              <w:jc w:val="left"/>
              <w:rPr/>
            </w:pPr>
            <w:r>
              <w:rPr/>
              <w:t>Tax effect of non-taxable income and non-deductible items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111,917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(2.9</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(39,296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22,091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w:t>
            </w:r>
          </w:p>
        </w:tc>
        <w:tc>
          <w:tcPr>
            <w:tcW w:w="337" w:type="dxa"/>
            <w:tcBorders/>
            <w:shd w:fill="CCEEFF" w:val="clear"/>
            <w:vAlign w:val="center"/>
          </w:tcPr>
          <w:p>
            <w:pPr>
              <w:pStyle w:val="TableContents"/>
              <w:bidi w:val="0"/>
              <w:spacing w:before="0" w:after="283"/>
              <w:ind w:left="0" w:right="0" w:hanging="180"/>
              <w:jc w:val="left"/>
              <w:rPr/>
            </w:pPr>
            <w:r>
              <w:rPr/>
              <w:t>%)</w:t>
            </w:r>
          </w:p>
        </w:tc>
      </w:tr>
      <w:tr>
        <w:trPr/>
        <w:tc>
          <w:tcPr>
            <w:tcW w:w="1518" w:type="dxa"/>
            <w:tcBorders/>
            <w:vAlign w:val="center"/>
          </w:tcPr>
          <w:p>
            <w:pPr>
              <w:pStyle w:val="TableContents"/>
              <w:bidi w:val="0"/>
              <w:spacing w:before="0" w:after="283"/>
              <w:jc w:val="left"/>
              <w:rPr/>
            </w:pPr>
            <w:r>
              <w:rPr/>
              <w:t>Tax effect of non-deductible offering costs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135,370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pPr>
            <w:r>
              <w:rPr/>
              <w:t>(3.5</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0"/>
              <w:jc w:val="right"/>
              <w:rPr/>
            </w:pPr>
            <w:r>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0"/>
              <w:jc w:val="right"/>
              <w:rPr/>
            </w:pPr>
            <w:r>
              <w:rPr/>
              <w:t>-</w:t>
            </w:r>
          </w:p>
        </w:tc>
        <w:tc>
          <w:tcPr>
            <w:tcW w:w="337" w:type="dxa"/>
            <w:tcBorders/>
            <w:vAlign w:val="center"/>
          </w:tcPr>
          <w:p>
            <w:pPr>
              <w:pStyle w:val="TableContents"/>
              <w:bidi w:val="0"/>
              <w:spacing w:before="0" w:after="283"/>
              <w:ind w:left="0" w:right="0" w:hanging="180"/>
              <w:jc w:val="left"/>
              <w:rPr/>
            </w:pPr>
            <w:r>
              <w:rPr/>
              <w:t> </w:t>
            </w:r>
          </w:p>
        </w:tc>
      </w:tr>
      <w:tr>
        <w:trPr/>
        <w:tc>
          <w:tcPr>
            <w:tcW w:w="1518" w:type="dxa"/>
            <w:tcBorders/>
            <w:shd w:fill="CCEEFF" w:val="clear"/>
            <w:vAlign w:val="center"/>
          </w:tcPr>
          <w:p>
            <w:pPr>
              <w:pStyle w:val="TableContents"/>
              <w:bidi w:val="0"/>
              <w:spacing w:before="0" w:after="283"/>
              <w:jc w:val="left"/>
              <w:rPr>
                <w:b/>
              </w:rPr>
            </w:pPr>
            <w:r>
              <w:rPr>
                <w:b/>
              </w:rPr>
              <w:t>Income tax expense/(benefit)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961,565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(270,502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(86,336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6.3</w:t>
            </w:r>
          </w:p>
        </w:tc>
        <w:tc>
          <w:tcPr>
            <w:tcW w:w="337"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both"/>
              <w:rPr>
                <w:sz w:val="20"/>
              </w:rPr>
            </w:pPr>
            <w:r>
              <w:rPr>
                <w:sz w:val="20"/>
              </w:rPr>
              <w:t>The effect of different tax rates in jurisdictions other than PRC derived from CCSC Technology Group, CCSC Interconnect HK and CCSC Technology Serbia.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sz w:val="20"/>
              </w:rPr>
            </w:pPr>
            <w:r>
              <w:rPr>
                <w:sz w:val="20"/>
              </w:rPr>
              <w:t>**</w:t>
            </w:r>
          </w:p>
        </w:tc>
        <w:tc>
          <w:tcPr>
            <w:tcW w:w="9959" w:type="dxa"/>
            <w:tcBorders/>
            <w:vAlign w:val="center"/>
          </w:tcPr>
          <w:p>
            <w:pPr>
              <w:pStyle w:val="TableContents"/>
              <w:bidi w:val="0"/>
              <w:spacing w:before="0" w:after="283"/>
              <w:jc w:val="both"/>
              <w:rPr>
                <w:sz w:val="20"/>
              </w:rPr>
            </w:pPr>
            <w:r>
              <w:rPr>
                <w:sz w:val="20"/>
              </w:rPr>
              <w:t>True up adjustment for income tax expense for prior years is related to changes in estimates to IPO expenses claimed to Hong Kong tax authorities for prior periods.</w:t>
            </w:r>
          </w:p>
        </w:tc>
      </w:tr>
    </w:tbl>
    <w:p>
      <w:pPr>
        <w:pStyle w:val="TextBody"/>
        <w:bidi w:val="0"/>
        <w:spacing w:before="0" w:after="0"/>
        <w:ind w:left="482" w:right="0" w:hanging="48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March 31, 2026, 2025 and 2024, the cash paid for income tax were $1,740, nil and $859,882, respectively, and the cash received from income tax refund were $40,004, $246,771 and nil, respectively.</w:t>
      </w:r>
    </w:p>
    <w:p>
      <w:pPr>
        <w:pStyle w:val="TextBody"/>
        <w:bidi w:val="0"/>
        <w:spacing w:before="0" w:after="0"/>
        <w:ind w:left="482" w:right="0" w:hanging="48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 significant components of the deferred tax assets were summarized below:</w:t>
      </w:r>
    </w:p>
    <w:p>
      <w:pPr>
        <w:pStyle w:val="TextBody"/>
        <w:bidi w:val="0"/>
        <w:spacing w:before="0" w:after="0"/>
        <w:ind w:left="360" w:right="0" w:hanging="0"/>
        <w:jc w:val="both"/>
        <w:rPr>
          <w:caps w:val="false"/>
          <w:smallCaps w:val="false"/>
        </w:rPr>
      </w:pPr>
      <w:r>
        <w:rPr>
          <w:caps w:val="false"/>
          <w:smallCaps w:val="false"/>
        </w:rPr>
        <w:t> </w:t>
      </w:r>
    </w:p>
    <w:tbl>
      <w:tblPr>
        <w:tblW w:w="6020" w:type="dxa"/>
        <w:jc w:val="left"/>
        <w:tblInd w:w="0" w:type="dxa"/>
        <w:tblLayout w:type="fixed"/>
        <w:tblCellMar>
          <w:top w:w="0" w:type="dxa"/>
          <w:left w:w="0" w:type="dxa"/>
          <w:bottom w:w="0" w:type="dxa"/>
          <w:right w:w="0" w:type="dxa"/>
        </w:tblCellMar>
      </w:tblPr>
      <w:tblGrid>
        <w:gridCol w:w="3290"/>
        <w:gridCol w:w="90"/>
        <w:gridCol w:w="170"/>
        <w:gridCol w:w="1085"/>
        <w:gridCol w:w="125"/>
        <w:gridCol w:w="90"/>
        <w:gridCol w:w="170"/>
        <w:gridCol w:w="830"/>
        <w:gridCol w:w="170"/>
      </w:tblGrid>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b/>
              </w:rPr>
            </w:pPr>
            <w:r>
              <w:rPr>
                <w:b/>
              </w:rPr>
              <w:t>Deferred tax assets:</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3290" w:type="dxa"/>
            <w:tcBorders/>
            <w:shd w:fill="CCEEFF" w:val="clear"/>
            <w:vAlign w:val="center"/>
          </w:tcPr>
          <w:p>
            <w:pPr>
              <w:pStyle w:val="TableContents"/>
              <w:bidi w:val="0"/>
              <w:spacing w:before="0" w:after="283"/>
              <w:jc w:val="left"/>
              <w:rPr/>
            </w:pPr>
            <w:r>
              <w:rPr/>
              <w:t>Inventory provision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56,778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59,949</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3290" w:type="dxa"/>
            <w:tcBorders/>
            <w:vAlign w:val="center"/>
          </w:tcPr>
          <w:p>
            <w:pPr>
              <w:pStyle w:val="TableContents"/>
              <w:bidi w:val="0"/>
              <w:spacing w:before="0" w:after="283"/>
              <w:jc w:val="left"/>
              <w:rPr/>
            </w:pPr>
            <w:r>
              <w:rPr/>
              <w:t>Net operating loss carried forward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1,124,292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590,581</w:t>
            </w:r>
          </w:p>
        </w:tc>
        <w:tc>
          <w:tcPr>
            <w:tcW w:w="170" w:type="dxa"/>
            <w:tcBorders/>
            <w:vAlign w:val="center"/>
          </w:tcPr>
          <w:p>
            <w:pPr>
              <w:pStyle w:val="TableContents"/>
              <w:bidi w:val="0"/>
              <w:spacing w:before="0" w:after="283"/>
              <w:ind w:left="0" w:right="0" w:hanging="200"/>
              <w:jc w:val="left"/>
              <w:rPr/>
            </w:pPr>
            <w:r>
              <w:rPr/>
              <w:t> </w:t>
            </w:r>
          </w:p>
        </w:tc>
      </w:tr>
      <w:tr>
        <w:trPr/>
        <w:tc>
          <w:tcPr>
            <w:tcW w:w="3290" w:type="dxa"/>
            <w:tcBorders/>
            <w:shd w:fill="CCEEFF" w:val="clear"/>
            <w:vAlign w:val="center"/>
          </w:tcPr>
          <w:p>
            <w:pPr>
              <w:pStyle w:val="TableContents"/>
              <w:bidi w:val="0"/>
              <w:spacing w:before="0" w:after="283"/>
              <w:jc w:val="left"/>
              <w:rPr>
                <w:b/>
              </w:rPr>
            </w:pPr>
            <w:r>
              <w:rPr>
                <w:b/>
              </w:rPr>
              <w:t>Total deferred tax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1,181,070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650,530</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3290" w:type="dxa"/>
            <w:tcBorders/>
            <w:vAlign w:val="center"/>
          </w:tcPr>
          <w:p>
            <w:pPr>
              <w:pStyle w:val="TableContents"/>
              <w:bidi w:val="0"/>
              <w:spacing w:before="0" w:after="283"/>
              <w:jc w:val="left"/>
              <w:rPr/>
            </w:pPr>
            <w:r>
              <w:rPr/>
              <w:t>Valuation allowance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(1,161,762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(91,847</w:t>
            </w:r>
          </w:p>
        </w:tc>
        <w:tc>
          <w:tcPr>
            <w:tcW w:w="170" w:type="dxa"/>
            <w:tcBorders/>
            <w:vAlign w:val="center"/>
          </w:tcPr>
          <w:p>
            <w:pPr>
              <w:pStyle w:val="TableContents"/>
              <w:bidi w:val="0"/>
              <w:spacing w:before="0" w:after="283"/>
              <w:ind w:left="0" w:right="0" w:hanging="200"/>
              <w:jc w:val="left"/>
              <w:rPr/>
            </w:pPr>
            <w:r>
              <w:rPr/>
              <w:t>)</w:t>
            </w:r>
          </w:p>
        </w:tc>
      </w:tr>
      <w:tr>
        <w:trPr/>
        <w:tc>
          <w:tcPr>
            <w:tcW w:w="3290" w:type="dxa"/>
            <w:tcBorders/>
            <w:shd w:fill="CCEEFF" w:val="clear"/>
            <w:vAlign w:val="center"/>
          </w:tcPr>
          <w:p>
            <w:pPr>
              <w:pStyle w:val="TableContents"/>
              <w:bidi w:val="0"/>
              <w:spacing w:before="0" w:after="283"/>
              <w:jc w:val="left"/>
              <w:rPr>
                <w:b/>
              </w:rPr>
            </w:pPr>
            <w:r>
              <w:rPr>
                <w:b/>
              </w:rPr>
              <w:t>Deferred tax assets,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19,308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558,683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periodically evaluates the likelihood of the realization of deferred tax assets and reduces the carrying amount of the deferred tax assets by a valuation allowance to the extent it believes a portion will not be realized. Management considers new evidence, both positive and negative, that could affect the Company’s future realization of deferred tax assets, including its recent cumulative earnings experience, expectation of future income, the carry forward periods available for tax reporting purposes and other relevant factors.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 Group had net operating loss carryforwards of $7,291,678 and $4,261,371, respectively, arising from its Hong Kong and PRC subsidiaries. Despite the indefinite carryforward term for Hong Kong tax losses and the remaining valid carryforward period for PRC tax losses, the continuous operating losses of these subsidiaries result in insufficient credible future taxable income to offset the accumulated losses. Accordingly, the Group recorded total valuation allowance of $1,161,762 and $91,847 for the deferred tax assets as of March 31, 2026 and 2025.</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of valuation allowance of deferred tax assets are as follows:</w:t>
      </w:r>
    </w:p>
    <w:p>
      <w:pPr>
        <w:pStyle w:val="TextBody"/>
        <w:bidi w:val="0"/>
        <w:spacing w:before="0" w:after="0"/>
        <w:ind w:left="360" w:right="0" w:hanging="0"/>
        <w:jc w:val="both"/>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3890"/>
        <w:gridCol w:w="90"/>
        <w:gridCol w:w="170"/>
        <w:gridCol w:w="1010"/>
        <w:gridCol w:w="90"/>
        <w:gridCol w:w="90"/>
        <w:gridCol w:w="170"/>
        <w:gridCol w:w="830"/>
        <w:gridCol w:w="170"/>
      </w:tblGrid>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7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pPr>
            <w:r>
              <w:rPr/>
              <w:t>Balance at beginning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91,847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121,016</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3890"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1,058,058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pPr>
            <w:r>
              <w:rPr/>
              <w:t>Reversal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(29,730</w:t>
            </w:r>
          </w:p>
        </w:tc>
        <w:tc>
          <w:tcPr>
            <w:tcW w:w="170" w:type="dxa"/>
            <w:tcBorders/>
            <w:shd w:fill="CCEEFF" w:val="clear"/>
            <w:vAlign w:val="center"/>
          </w:tcPr>
          <w:p>
            <w:pPr>
              <w:pStyle w:val="TableContents"/>
              <w:bidi w:val="0"/>
              <w:spacing w:before="0" w:after="283"/>
              <w:ind w:left="0" w:right="0" w:hanging="200"/>
              <w:jc w:val="left"/>
              <w:rPr/>
            </w:pPr>
            <w:r>
              <w:rPr/>
              <w:t>)</w:t>
            </w:r>
          </w:p>
        </w:tc>
      </w:tr>
      <w:tr>
        <w:trPr/>
        <w:tc>
          <w:tcPr>
            <w:tcW w:w="3890" w:type="dxa"/>
            <w:tcBorders/>
            <w:vAlign w:val="center"/>
          </w:tcPr>
          <w:p>
            <w:pPr>
              <w:pStyle w:val="TableContents"/>
              <w:bidi w:val="0"/>
              <w:spacing w:before="0" w:after="283"/>
              <w:jc w:val="left"/>
              <w:rPr/>
            </w:pPr>
            <w:r>
              <w:rPr/>
              <w:t>Foreign currency translation adjustments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11,857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561</w:t>
            </w:r>
          </w:p>
        </w:tc>
        <w:tc>
          <w:tcPr>
            <w:tcW w:w="170" w:type="dxa"/>
            <w:tcBorders/>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b/>
              </w:rPr>
            </w:pPr>
            <w:r>
              <w:rPr>
                <w:b/>
              </w:rPr>
              <w:t>Balance at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1,161,762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91,847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 Group had income taxes payable of $12,454 and $11,614, respectively.</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had income tax recoverable of $15,616 and $452,598 as of March 31, 2026 and 2025, respectively. The Group’s Hong Kong subsidiaries, CCSC Technology Group and CCSC Interconnect HK, make income tax prepayment to Hong Kong tax authority based on the preceding year’s taxable income. This payment is used to offset against the actual income tax liability which assessed by local tax authority at year-end based on actual taxable income generated by CCSC Technology Group and CCSC Interconnect HK. Any overpayment will be refundable in accordance with Hong Kong tax laws when the final income tax liability is determined based on actual taxable income generated during the year (see Note 6).</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each uncertain tax position (including the potential application of interest and penalties) based on the technical merits, and measures the unrecognized benefits associated with the tax positions. As of March 31, 2026 and 2025, the Group did not have any significant unrecognized uncertain tax positions and the Group does not believe that its unrecognized tax benefits will change over the next twelve months. For the years ended March 31, 2026, 2025 and 2024, the Group did not have any significant interest or penalties related to potential underpaid income tax expenses.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PRC Tax Administration and Collection Law, the statute of limitations is three years if the underpayment of taxes is due to computational errors made by the taxpayer or withholding agent. The statute of limitations will be extended five years under special circumstances, which are not clearly defined (but an underpayment of tax liability exceeding RMB0.1 million is specifically listed as a special circumstance). In the case of a related party transaction, the statute of limitations is ten years. There is no statute of limitations in the case of tax evasion. According to Hong Kong Inland Revenue Ordinance, the year of assessment or within six years after the year of assessment are subject to examination for by the Hong Kong tax authorities.</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770"/>
        <w:gridCol w:w="9286"/>
      </w:tblGrid>
      <w:tr>
        <w:trPr/>
        <w:tc>
          <w:tcPr>
            <w:tcW w:w="14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b/>
              </w:rPr>
            </w:pPr>
            <w:r>
              <w:rPr>
                <w:b/>
              </w:rPr>
              <w:t>13.</w:t>
            </w:r>
          </w:p>
        </w:tc>
        <w:tc>
          <w:tcPr>
            <w:tcW w:w="9286"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related parties with which the Company had transactions include its subsidiaries, any director or executive officers of the Company and his or her immediate family members, as well as any shareholders owning more than 5% of the Company’s Ordinary Shares.</w:t>
      </w:r>
    </w:p>
    <w:p>
      <w:pPr>
        <w:pStyle w:val="TextBody"/>
        <w:bidi w:val="0"/>
        <w:spacing w:before="0" w:after="0"/>
        <w:ind w:left="360" w:right="0" w:hanging="0"/>
        <w:jc w:val="both"/>
        <w:rPr>
          <w:caps w:val="false"/>
          <w:smallCaps w:val="false"/>
        </w:rPr>
      </w:pPr>
      <w:r>
        <w:rPr>
          <w:caps w:val="false"/>
          <w:smallCaps w:val="false"/>
        </w:rPr>
        <w:t> </w:t>
      </w:r>
    </w:p>
    <w:tbl>
      <w:tblPr>
        <w:tblW w:w="8830" w:type="dxa"/>
        <w:jc w:val="left"/>
        <w:tblInd w:w="0" w:type="dxa"/>
        <w:tblLayout w:type="fixed"/>
        <w:tblCellMar>
          <w:top w:w="0" w:type="dxa"/>
          <w:left w:w="0" w:type="dxa"/>
          <w:bottom w:w="28" w:type="dxa"/>
          <w:right w:w="0" w:type="dxa"/>
        </w:tblCellMar>
      </w:tblPr>
      <w:tblGrid>
        <w:gridCol w:w="1985"/>
        <w:gridCol w:w="90"/>
        <w:gridCol w:w="6755"/>
      </w:tblGrid>
      <w:tr>
        <w:trPr/>
        <w:tc>
          <w:tcPr>
            <w:tcW w:w="1985" w:type="dxa"/>
            <w:tcBorders>
              <w:bottom w:val="single" w:sz="12" w:space="0" w:color="000000"/>
            </w:tcBorders>
            <w:vAlign w:val="center"/>
          </w:tcPr>
          <w:p>
            <w:pPr>
              <w:pStyle w:val="TableContents"/>
              <w:bidi w:val="0"/>
              <w:spacing w:before="0" w:after="283"/>
              <w:jc w:val="left"/>
              <w:rPr>
                <w:b/>
                <w:sz w:val="20"/>
              </w:rPr>
            </w:pPr>
            <w:r>
              <w:rPr>
                <w:b/>
                <w:sz w:val="20"/>
              </w:rPr>
              <w:t>Name of Related Party</w:t>
            </w:r>
          </w:p>
        </w:tc>
        <w:tc>
          <w:tcPr>
            <w:tcW w:w="90" w:type="dxa"/>
            <w:tcBorders/>
            <w:tcMar>
              <w:bottom w:w="0" w:type="dxa"/>
            </w:tcMar>
            <w:vAlign w:val="center"/>
          </w:tcPr>
          <w:p>
            <w:pPr>
              <w:pStyle w:val="TableContents"/>
              <w:bidi w:val="0"/>
              <w:spacing w:before="0" w:after="283"/>
              <w:jc w:val="left"/>
              <w:rPr/>
            </w:pPr>
            <w:r>
              <w:rPr/>
              <w:t> </w:t>
            </w:r>
          </w:p>
        </w:tc>
        <w:tc>
          <w:tcPr>
            <w:tcW w:w="6755" w:type="dxa"/>
            <w:tcBorders>
              <w:bottom w:val="single" w:sz="12" w:space="0" w:color="000000"/>
            </w:tcBorders>
            <w:vAlign w:val="center"/>
          </w:tcPr>
          <w:p>
            <w:pPr>
              <w:pStyle w:val="TableContents"/>
              <w:bidi w:val="0"/>
              <w:spacing w:before="0" w:after="283"/>
              <w:ind w:left="0" w:right="0" w:hanging="200"/>
              <w:jc w:val="left"/>
              <w:rPr>
                <w:b/>
                <w:sz w:val="20"/>
              </w:rPr>
            </w:pPr>
            <w:r>
              <w:rPr>
                <w:b/>
                <w:sz w:val="20"/>
              </w:rPr>
              <w:t>Relationship to the Company</w:t>
            </w:r>
          </w:p>
        </w:tc>
      </w:tr>
      <w:tr>
        <w:trPr/>
        <w:tc>
          <w:tcPr>
            <w:tcW w:w="1985" w:type="dxa"/>
            <w:tcBorders/>
            <w:shd w:fill="CCEEFF" w:val="clear"/>
            <w:tcMar>
              <w:bottom w:w="0" w:type="dxa"/>
            </w:tcMar>
            <w:vAlign w:val="center"/>
          </w:tcPr>
          <w:p>
            <w:pPr>
              <w:pStyle w:val="TableContents"/>
              <w:bidi w:val="0"/>
              <w:spacing w:before="0" w:after="283"/>
              <w:jc w:val="left"/>
              <w:rPr>
                <w:sz w:val="20"/>
              </w:rPr>
            </w:pPr>
            <w:r>
              <w:rPr>
                <w:sz w:val="20"/>
              </w:rPr>
              <w:t>Dr. Chi Sing Chiu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6755" w:type="dxa"/>
            <w:tcBorders/>
            <w:shd w:fill="CCEEFF" w:val="clear"/>
            <w:tcMar>
              <w:bottom w:w="0" w:type="dxa"/>
            </w:tcMar>
            <w:vAlign w:val="center"/>
          </w:tcPr>
          <w:p>
            <w:pPr>
              <w:pStyle w:val="TableContents"/>
              <w:bidi w:val="0"/>
              <w:spacing w:before="0" w:after="283"/>
              <w:ind w:left="0" w:right="0" w:hanging="200"/>
              <w:jc w:val="left"/>
              <w:rPr>
                <w:sz w:val="20"/>
              </w:rPr>
            </w:pPr>
            <w:r>
              <w:rPr>
                <w:sz w:val="20"/>
              </w:rPr>
              <w:t>The controlling shareholder and chairman of the board of director of the Company</w:t>
            </w:r>
          </w:p>
        </w:tc>
      </w:tr>
      <w:tr>
        <w:trPr/>
        <w:tc>
          <w:tcPr>
            <w:tcW w:w="19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755" w:type="dxa"/>
            <w:tcBorders/>
            <w:tcMar>
              <w:bottom w:w="0" w:type="dxa"/>
            </w:tcMar>
            <w:vAlign w:val="center"/>
          </w:tcPr>
          <w:p>
            <w:pPr>
              <w:pStyle w:val="TableContents"/>
              <w:bidi w:val="0"/>
              <w:spacing w:before="0" w:after="283"/>
              <w:ind w:left="0" w:right="0" w:hanging="200"/>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sz w:val="20"/>
              </w:rPr>
            </w:pPr>
            <w:r>
              <w:rPr>
                <w:sz w:val="20"/>
              </w:rPr>
              <w:t>Ms. Woon Bing Yeung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6755" w:type="dxa"/>
            <w:tcBorders/>
            <w:shd w:fill="CCEEFF" w:val="clear"/>
            <w:tcMar>
              <w:bottom w:w="0" w:type="dxa"/>
            </w:tcMar>
            <w:vAlign w:val="center"/>
          </w:tcPr>
          <w:p>
            <w:pPr>
              <w:pStyle w:val="TableContents"/>
              <w:bidi w:val="0"/>
              <w:spacing w:before="0" w:after="283"/>
              <w:jc w:val="left"/>
              <w:rPr>
                <w:sz w:val="20"/>
              </w:rPr>
            </w:pPr>
            <w:r>
              <w:rPr>
                <w:sz w:val="20"/>
              </w:rPr>
              <w:t>A shareholder of the Company and spouse of Dr. Chi Sing Chiu</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related parties as of March 31, 2026 and 2025 was nil. There were no related party transactions for the years ended March 31, 2026, 2025 and 2024, respectively.</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1"/>
        <w:gridCol w:w="2424"/>
        <w:gridCol w:w="7310"/>
      </w:tblGrid>
      <w:tr>
        <w:trPr/>
        <w:tc>
          <w:tcPr>
            <w:tcW w:w="471"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b/>
              </w:rPr>
            </w:pPr>
            <w:r>
              <w:rPr>
                <w:b/>
              </w:rPr>
              <w:t>14.</w:t>
            </w:r>
          </w:p>
        </w:tc>
        <w:tc>
          <w:tcPr>
            <w:tcW w:w="7310" w:type="dxa"/>
            <w:tcBorders/>
            <w:vAlign w:val="center"/>
          </w:tcPr>
          <w:p>
            <w:pPr>
              <w:pStyle w:val="TableContents"/>
              <w:bidi w:val="0"/>
              <w:spacing w:before="0" w:after="283"/>
              <w:jc w:val="both"/>
              <w:rPr>
                <w:b/>
              </w:rPr>
            </w:pPr>
            <w:r>
              <w:rPr>
                <w:b/>
              </w:rPr>
              <w:t>EQUITY</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Initial Public Offering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2024, the Company completed its IPO and was listed on the Nasdaq Capital Market under the symbol “CCTG”. 1,375,000 ordinary shares were issued at a price of $4.0 per share. On February 8, 2024, the underwriters exercised their over-allotment option in full to purchase an additional 206,250 ordinary shares of the Company at the public offering price of US$4.0 per share. The net proceeds were $3.6 million after deducting underwriting discounts and commissions, and other issuance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Dual-Class Share Structure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2024, the authorized share capital of the Company was increased from 100,000,000 ordinary shares to 500,000,000 ordinary shares of a par value of US$0.0005 each. The Company also implemented a dual class structure of its share capital, and reclassified the authorized share capital of 500,000,000 ordinary shares to 495,000,000 Class A Ordinary Shares and 5,000,000 Class B Ordinary Shares. The dual-class share structure was retroactively applied as if the transaction occurred at the beginning of the period presented.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Follow-on Offering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Company completed a follow-on public offering and issued 11,766,627 Class A ordinary shares, par value US$0.0005 per share, at a combined public offering price of US$0.60 per share and accompanying Warrants. Net proceeds from the offering were approximately US$6.34 million after deducting placement agent commissions and other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October 2025 follow-on offering, the Company issued 23,533,254 Warrants to purchase an equal number of Class A ordinary shares. The Warrants had an exercise price of US$0.72 per share, were exercisable immediately upon issuance, had a term of five years from the initial exercise date, and could be exercised on either a cash or cashless basis pursuant to their terms. The Warrants met the criteria for equity classification and were recorded within shareholders’ equity upon issuance.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all 23,533,254 outstanding Warrants were exercised on a cashless basis, and the Company issued an aggregate of 15,787,323 Class A ordinary shares. No cash proceeds were received from such exercises.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Share 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2026, the Company effected a one-for-ten share consolidation, pursuant to which the Company’s issued and outstanding ordinary shares were consolidated at the ratio of ten-for-one, and the authorized share capital of the Company became US$250,000 divided into 49,500,000 Class A ordinary shares of par value US$0.005 each and 500,000 Class B ordinary shares of par value US$0.005 each. Any fractional shares resulting from the share consolidation were rounded up to the nearest whole share. All share and per share amounts have been retroactively adjusted to reflect the share 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 Company’s issued Class A Ordinary Shares were 3,413,520 and 658,125, respectively, and issued Class B Ordinary Shares were 500,000 and 500,000,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Net Assets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Company’s operations are conducted through its PRC subsidiary. The Company’s ability to pay dividends is primarily dependent on receiving distributions of funds from its subsidiary. Relevant PRC and regulations permit payments of dividends by PRC subsidiary only out of its retained earnings, if any, as determined in accordance with PRC accounting standards and regulations, and after an entity has met the requirements for appropriation to statutory reserves. The Company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surplus reserve are made at the discretion of the board of directors of the Company. Paid-in capital of our PRC subsidiary included in the Company’s consolidated net assets are also non-distributable for dividend purposes.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PRC laws and regulations, the Company’s PRC subsidiary is restricted in its ability to transfer a portion of their net assets to the Company. As of March 31, 2026 and 2025, net assets restricted in the aggregate, which included paid-in capital and statutory reserve funds of the Company’s PRC subsidiary, that were included in the Company’s consolidated net assets, were approximately $2,411,781 and $2,411,781, or 19.0% and 22.5% of the Company’s total net assets, respectively.</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3"/>
        <w:gridCol w:w="995"/>
        <w:gridCol w:w="9017"/>
      </w:tblGrid>
      <w:tr>
        <w:trPr/>
        <w:tc>
          <w:tcPr>
            <w:tcW w:w="19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15.</w:t>
            </w:r>
          </w:p>
        </w:tc>
        <w:tc>
          <w:tcPr>
            <w:tcW w:w="9017" w:type="dxa"/>
            <w:tcBorders/>
            <w:vAlign w:val="center"/>
          </w:tcPr>
          <w:p>
            <w:pPr>
              <w:pStyle w:val="TableContents"/>
              <w:bidi w:val="0"/>
              <w:spacing w:before="0" w:after="283"/>
              <w:jc w:val="both"/>
              <w:rPr>
                <w:b/>
              </w:rPr>
            </w:pPr>
            <w:r>
              <w:rPr>
                <w:b/>
              </w:rPr>
              <w:t>SEGMENT INFORMATION</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segment is a component of the Group that engages in business activities from which it may earn revenues and incur expenses and is identified on the basis of the internal financial reports that are provided to and regularly reviewed by the Group’s chief operating decision maker in order to allocate resources and assess performance of the segment.</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 Segment Reporting, operating segments are defined as components of an enterprise about which separate financial information is available that is evaluated regularly by the CODM, or decision-making group, in deciding how to allocate resources and in assessing performance. The Group uses the “management approach” in determining reportable operating segments. The management approach considers the internal organization and reporting used by the Group’s chief operating decision maker for making operating decisions and assessing performance as the source for determining the Group’s reportable segments. The Group’s CODM has been identified as the CEO, who reviews consolidated results when making decisions about allocating resources and assessing performance of the Company. The Company has determined that it only has one operating segment.</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concluded that consolidated net loss is the measure of segment profitability. The CODM assesses performance for the Group, monitors budget versus actual results and determines how to allocate resources based on consolidated net income as reported in the consolidated statements of operations and comprehensive loss. There is no other expense categories regularly provided to the CODM that are not already included in the primary financial statements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by products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 derived from different products are as below:</w:t>
      </w:r>
    </w:p>
    <w:p>
      <w:pPr>
        <w:pStyle w:val="TextBody"/>
        <w:bidi w:val="0"/>
        <w:spacing w:before="0" w:after="0"/>
        <w:ind w:left="360" w:right="0" w:hanging="0"/>
        <w:jc w:val="both"/>
        <w:rPr>
          <w:caps w:val="false"/>
          <w:smallCaps w:val="false"/>
        </w:rPr>
      </w:pPr>
      <w:r>
        <w:rPr>
          <w:caps w:val="false"/>
          <w:smallCaps w:val="false"/>
        </w:rPr>
        <w:t> </w:t>
      </w:r>
    </w:p>
    <w:tbl>
      <w:tblPr>
        <w:tblW w:w="6755" w:type="dxa"/>
        <w:jc w:val="left"/>
        <w:tblInd w:w="0" w:type="dxa"/>
        <w:tblLayout w:type="fixed"/>
        <w:tblCellMar>
          <w:top w:w="0" w:type="dxa"/>
          <w:left w:w="0" w:type="dxa"/>
          <w:bottom w:w="0" w:type="dxa"/>
          <w:right w:w="0" w:type="dxa"/>
        </w:tblCellMar>
      </w:tblPr>
      <w:tblGrid>
        <w:gridCol w:w="2270"/>
        <w:gridCol w:w="90"/>
        <w:gridCol w:w="170"/>
        <w:gridCol w:w="1130"/>
        <w:gridCol w:w="90"/>
        <w:gridCol w:w="90"/>
        <w:gridCol w:w="170"/>
        <w:gridCol w:w="1130"/>
        <w:gridCol w:w="90"/>
        <w:gridCol w:w="90"/>
        <w:gridCol w:w="170"/>
        <w:gridCol w:w="1130"/>
        <w:gridCol w:w="135"/>
      </w:tblGrid>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Cable and wire harness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15,986,501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16,385,705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13,626,836</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Connectors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1,316,243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1,245,784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1,121,715</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17,302,744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17,631,489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14,748,551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Geographic information</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Group’s revenue for the years ended March 31, 2026, 2025 and 2024 was generated from product sales to different geographic areas including Europe, Asia and Americas. The following table sets forth the disaggregation of revenue by geographic area:</w:t>
      </w:r>
    </w:p>
    <w:p>
      <w:pPr>
        <w:pStyle w:val="TextBody"/>
        <w:bidi w:val="0"/>
        <w:spacing w:before="0" w:after="0"/>
        <w:ind w:left="480" w:right="0" w:hanging="0"/>
        <w:jc w:val="both"/>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965"/>
        <w:gridCol w:w="90"/>
        <w:gridCol w:w="170"/>
        <w:gridCol w:w="1130"/>
        <w:gridCol w:w="90"/>
        <w:gridCol w:w="90"/>
        <w:gridCol w:w="170"/>
        <w:gridCol w:w="1130"/>
        <w:gridCol w:w="90"/>
        <w:gridCol w:w="90"/>
        <w:gridCol w:w="170"/>
        <w:gridCol w:w="1130"/>
        <w:gridCol w:w="135"/>
      </w:tblGrid>
      <w:tr>
        <w:trPr/>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3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Europe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10,572,256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10,991,905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8,523,788</w:t>
            </w:r>
          </w:p>
        </w:tc>
        <w:tc>
          <w:tcPr>
            <w:tcW w:w="135"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Asia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5,573,347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5,336,247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4,843,082</w:t>
            </w:r>
          </w:p>
        </w:tc>
        <w:tc>
          <w:tcPr>
            <w:tcW w:w="13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Americas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1,157,141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1,303,337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1,381,681</w:t>
            </w:r>
          </w:p>
        </w:tc>
        <w:tc>
          <w:tcPr>
            <w:tcW w:w="135"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17,302,744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17,631,489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14,748,551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Long-lived assets by Geography</w:t>
      </w:r>
    </w:p>
    <w:p>
      <w:pPr>
        <w:pStyle w:val="TextBody"/>
        <w:bidi w:val="0"/>
        <w:spacing w:before="0" w:after="0"/>
        <w:ind w:left="48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50"/>
        <w:gridCol w:w="90"/>
        <w:gridCol w:w="155"/>
        <w:gridCol w:w="875"/>
        <w:gridCol w:w="90"/>
        <w:gridCol w:w="90"/>
        <w:gridCol w:w="155"/>
        <w:gridCol w:w="875"/>
        <w:gridCol w:w="135"/>
      </w:tblGrid>
      <w:tr>
        <w:trPr/>
        <w:tc>
          <w:tcPr>
            <w:tcW w:w="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4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 March 31,</w:t>
            </w:r>
          </w:p>
        </w:tc>
        <w:tc>
          <w:tcPr>
            <w:tcW w:w="13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135" w:type="dxa"/>
            <w:tcBorders/>
            <w:vAlign w:val="center"/>
          </w:tcPr>
          <w:p>
            <w:pPr>
              <w:pStyle w:val="TableContents"/>
              <w:bidi w:val="0"/>
              <w:spacing w:before="0" w:after="283"/>
              <w:jc w:val="left"/>
              <w:rPr/>
            </w:pPr>
            <w:r>
              <w:rPr/>
              <w:t> </w:t>
            </w:r>
          </w:p>
        </w:tc>
      </w:tr>
      <w:tr>
        <w:trPr/>
        <w:tc>
          <w:tcPr>
            <w:tcW w:w="650" w:type="dxa"/>
            <w:tcBorders/>
            <w:shd w:fill="CCEEFF" w:val="clear"/>
            <w:vAlign w:val="center"/>
          </w:tcPr>
          <w:p>
            <w:pPr>
              <w:pStyle w:val="TableContents"/>
              <w:bidi w:val="0"/>
              <w:spacing w:before="0" w:after="283"/>
              <w:jc w:val="left"/>
              <w:rPr>
                <w:sz w:val="20"/>
              </w:rPr>
            </w:pPr>
            <w:r>
              <w:rPr>
                <w:sz w:val="20"/>
              </w:rPr>
              <w:t>Asia</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875" w:type="dxa"/>
            <w:tcBorders/>
            <w:shd w:fill="CCEEFF" w:val="clear"/>
            <w:vAlign w:val="center"/>
          </w:tcPr>
          <w:p>
            <w:pPr>
              <w:pStyle w:val="TableContents"/>
              <w:bidi w:val="0"/>
              <w:spacing w:before="0" w:after="283"/>
              <w:jc w:val="right"/>
              <w:rPr>
                <w:sz w:val="20"/>
              </w:rPr>
            </w:pPr>
            <w:r>
              <w:rPr>
                <w:sz w:val="20"/>
              </w:rPr>
              <w:t>5,770,695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875" w:type="dxa"/>
            <w:tcBorders/>
            <w:shd w:fill="CCEEFF" w:val="clear"/>
            <w:vAlign w:val="center"/>
          </w:tcPr>
          <w:p>
            <w:pPr>
              <w:pStyle w:val="TableContents"/>
              <w:bidi w:val="0"/>
              <w:spacing w:before="0" w:after="283"/>
              <w:jc w:val="right"/>
              <w:rPr>
                <w:sz w:val="20"/>
              </w:rPr>
            </w:pPr>
            <w:r>
              <w:rPr>
                <w:sz w:val="20"/>
              </w:rPr>
              <w:t>5,207,187</w:t>
            </w:r>
          </w:p>
        </w:tc>
        <w:tc>
          <w:tcPr>
            <w:tcW w:w="135" w:type="dxa"/>
            <w:tcBorders/>
            <w:shd w:fill="CCEEFF" w:val="cle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Europe</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1,594,785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541,543</w:t>
            </w:r>
          </w:p>
        </w:tc>
        <w:tc>
          <w:tcPr>
            <w:tcW w:w="135" w:type="dxa"/>
            <w:tcBorders/>
            <w:vAlign w:val="center"/>
          </w:tcPr>
          <w:p>
            <w:pPr>
              <w:pStyle w:val="TableContents"/>
              <w:bidi w:val="0"/>
              <w:spacing w:before="0" w:after="283"/>
              <w:jc w:val="left"/>
              <w:rPr/>
            </w:pPr>
            <w:r>
              <w:rPr/>
              <w:t> </w:t>
            </w:r>
          </w:p>
        </w:tc>
      </w:tr>
      <w:tr>
        <w:trPr/>
        <w:tc>
          <w:tcPr>
            <w:tcW w:w="650" w:type="dxa"/>
            <w:tcBorders/>
            <w:shd w:fill="CCEEFF" w:val="clear"/>
            <w:vAlign w:val="center"/>
          </w:tcPr>
          <w:p>
            <w:pPr>
              <w:pStyle w:val="TableContents"/>
              <w:bidi w:val="0"/>
              <w:spacing w:before="0" w:after="283"/>
              <w:jc w:val="left"/>
              <w:rPr>
                <w:b/>
                <w:sz w:val="20"/>
              </w:rPr>
            </w:pPr>
            <w:r>
              <w:rPr>
                <w:b/>
                <w:sz w:val="20"/>
              </w:rPr>
              <w:t>Total</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4"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75" w:type="dxa"/>
            <w:tcBorders>
              <w:bottom w:val="double" w:sz="4" w:space="0" w:color="000000"/>
            </w:tcBorders>
            <w:shd w:fill="CCEEFF" w:val="clear"/>
            <w:tcMar>
              <w:bottom w:w="28" w:type="dxa"/>
            </w:tcMar>
            <w:vAlign w:val="center"/>
          </w:tcPr>
          <w:p>
            <w:pPr>
              <w:pStyle w:val="TableContents"/>
              <w:bidi w:val="0"/>
              <w:spacing w:before="0" w:after="283"/>
              <w:jc w:val="right"/>
              <w:rPr>
                <w:b/>
                <w:sz w:val="20"/>
              </w:rPr>
            </w:pPr>
            <w:r>
              <w:rPr>
                <w:b/>
                <w:sz w:val="20"/>
              </w:rPr>
              <w:t>7,365,480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4"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75" w:type="dxa"/>
            <w:tcBorders>
              <w:bottom w:val="double" w:sz="4" w:space="0" w:color="000000"/>
            </w:tcBorders>
            <w:shd w:fill="CCEEFF" w:val="clear"/>
            <w:tcMar>
              <w:bottom w:w="28" w:type="dxa"/>
            </w:tcMar>
            <w:vAlign w:val="center"/>
          </w:tcPr>
          <w:p>
            <w:pPr>
              <w:pStyle w:val="TableContents"/>
              <w:bidi w:val="0"/>
              <w:spacing w:before="0" w:after="283"/>
              <w:jc w:val="right"/>
              <w:rPr>
                <w:b/>
                <w:sz w:val="20"/>
              </w:rPr>
            </w:pPr>
            <w:r>
              <w:rPr>
                <w:b/>
                <w:sz w:val="20"/>
              </w:rPr>
              <w:t>5,748,730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690"/>
        <w:gridCol w:w="9382"/>
      </w:tblGrid>
      <w:tr>
        <w:trPr/>
        <w:tc>
          <w:tcPr>
            <w:tcW w:w="13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b/>
              </w:rPr>
            </w:pPr>
            <w:r>
              <w:rPr>
                <w:b/>
              </w:rPr>
              <w:t>16.</w:t>
            </w:r>
          </w:p>
        </w:tc>
        <w:tc>
          <w:tcPr>
            <w:tcW w:w="9382"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contractual payment obligations under its operating lease agreement and financing lease agreements with the landlords.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future payment related to short-term lease under non-cancelable agreements was $26,331, that has not been recognized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entered into certain equipment purchase agreements with four independent third-party vendors, with future payments of $2.09 million, $0.82 million, $0.22 million and $0.25 million, respectively. The payments are for the production equipment for the Serbia manufacturing plant of $2.09 million and $0.82 million and have been extended until the completion of the plant by December 2026. The $0.22 million payment relates to the procurement of equipment for the intelligent production demonstration platform and is payable upon confirmation of the acceptance of the platform, with payment expected to be made in year 2026. The remaining payment of $0.25 million for the production equipment, incurred in the ordinary course of the Group’s normal manufacturing operations, will be paid in installments according to the payment schedule and fully settled 12 months subsequent to equipment testing and final acceptance, which are expected to be completed in December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Group entered into a fixed-price construction contract for the manufacturing plant located in Serbia with a total amount of $2,505,705 (EUR2,175,452.78). As of March 31, 2026, the outstanding payable under this contract are $1,597,414 (EUR1,386,874.40), payable in instalments based on construction progress. The construction project is expected to be completed and ready for operational use in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Group entered into a software purchase agreement pursuant to which its indirect wholly owned subsidiary agreed to acquire certain software related to an intelligent logistics simulation system from a third-party seller. The total consideration for the acquisition consists of 3,333,333 Class A ordinary shares of the Company, with an aggregate value of approximately US$2.00 million based on a per share price of US$0.60 (the “Consideration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is a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Group was named as one of roughly 47 issuer defendants in a putative securities class action filed in the Supreme Court of the State of New York, New York County, together with numerous underwriter and individual defendants. Plaintiffs asserted claims under Sections 11 and 12 of the Securities Act of 1933, alleging the Group’s IPO registration statement and prospectus omitted material information regarding risks of post-IPO pump-and-dump manipulation schemes. The Request for Judicial Intervention filed by Plaintiffs was returned for correction by the Court. Plaintiffs have not yet filed a document correcting the filing. Since March 24, 2026, and as of the date of this annual report, there has been no further activity in the matter involving the Group, nor has there been any formal investigation or regulatory inquiry involving the Group or its officers. The Group has not been formally served with summons and complaint, denies all allegations, and plans to vigorously defend the litigation given the claims lack legal merit. Under ASC 450, management determined a material loss is not probable and no reasonable estimate of potential loss can be made, thus no loss contingency accrual has been recognized.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there were no other pending or threatened claims and litigation as of March 31, 2026 and through the issuance date of these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112"/>
        <w:gridCol w:w="8878"/>
      </w:tblGrid>
      <w:tr>
        <w:trPr/>
        <w:tc>
          <w:tcPr>
            <w:tcW w:w="21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b/>
              </w:rPr>
            </w:pPr>
            <w:r>
              <w:rPr>
                <w:b/>
              </w:rPr>
              <w:t>17.</w:t>
            </w:r>
          </w:p>
        </w:tc>
        <w:tc>
          <w:tcPr>
            <w:tcW w:w="8878"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the Group entered into a technology purchase agreement pursuant to which the Company agreed to acquire a smart manufacturing platform technology from a third-party seller. The total consideration for the acquisition consists of 6,333,333 Class A ordinary shares of the Company, with an aggregate value of approximately US$3.80 million based on a per share price of US$0.60 (the “Consideration Shares”). On June 26, 2026, the Group completed this acquisition; in connection with the closing, the Company issued an aggregate of 2,916,667 and 3,416,666 Class A ordinary shares on June 5, 2026 and June 26, 2026, respectively as consideration, at an implied price of US$0.60 per share, representing total consideration of approximately US$3.80 million. The acquisition was settled entirely through the issuance of equity instruments, and no cash consideration was paid by the Group.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Group completed the acquisition of certain software related to an intelligent logistics simulation system pursuant to the software purchase agreement entered into on February 25, 2026. In connection with the closing, the Company issued an aggregate of 3,333,333 Class A ordinary shares as consideration for the acquisition, at an implied price of US$0.60 per share, representing total consideration of approximately US$2.00 million. The acquisition was settled entirely through the issuance of equity instruments, and no cash consideration was paid by the Group.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performed an evaluation of subsequent events through the date of the consolidated financial statements which were issued, and determined that except for the events disclosed above, no other events that would have required adjustment or disclosure in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5" w:name="ea029738501ex2-2.htm"/>
      <w:bookmarkStart w:id="46" w:name="ksea029738501ex22"/>
      <w:bookmarkEnd w:id="45"/>
      <w:bookmarkEnd w:id="46"/>
      <w:r>
        <w:rPr>
          <w:b/>
        </w:rPr>
        <w:t>Exhibit 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 of Each Class of Securities</w:t>
        <w:br/>
        <w:t>Registered under Section 12 of the Securities Exchange Act of 1934, as Amended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par value US$0.005 per share (“Class A Ordinary Shares”), of CCSC Technology International Holdings Limited, (“we,” “our,” “our company,” or “us”) are listed and traded on the Nasdaq Capital Market and, in connection with this listing (but not for trading), its Class A Ordinary Shares are registered under Section 12(b) of the Exchange Act. This exhibit contains a description of the rights of the holders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second amended and restated memorandum and articles of association (the “Memorandum and Articles of Association”), as well as the Companies Act (Revised) of the Cayman Islands (the “Cayman Companies Act”) insofar as they relate to the material terms of our Class A Ordinary Shares. Notwithstanding this, because it is a summary, it may not contain all the information that you may otherwise deem important. For more complete information, you should read the entire Memorandum and Articles of Association, which have been filed with the U.S. Securities and Exchange Commission as exhibits to our Registration Statement on Form 20-F (File No. 001-[*]), initially filed with the U.S. Securities and Exchange Commission on July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 and Class of Securities (Item 9.A.5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has a par value of US$0.005 per share. The number of Class A Ordinary Shares that have been issued as of the last day of the financial year ended March 31, 2026 is provided on the cover of the annual report on Form 20-F filed on July [*], 2026. Our Class A Ordinary Shares may be held in either certificated or uncertificated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 (Item 9.A.3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are not subject to any pre-emptive or similar rights under the Cayman Companies Act or pursuant to the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or Qualifications (Item 9.A.6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voting structure such that our ordinary shares consist of Class A Ordinary Shares and Class B ordinary shares of a par value of US$0.005 each (“Class B Ordinary Shares”). In respect of matters requiring a shareholder vote, (i) on a show of hands, each shareholder present at the general meeting shall have one vote, and (ii) on a poll, every shareholder present at the general meeting shall have one (1) vote for each Class A Ordinary Share and fifty (50) votes for each Class B Ordinary Share. Each Class B Ordinary Share is convertible into one Class A Ordinary share at any time by the holder thereof. Our Class A Ordinary Shares are not convertible into our Class B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Other Types of Securities (Item 9.A.7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Class A Ordinary Shares (Item 10.B.3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US$250,000 divided into 50,000,000 shares of a par value of US$0.005 each, comprising 49,500,000 Class A Ordinary Shares of a par value of US$0.005 each and 500,000 Class B Ordinary Shares of a par value of US$0.005 each. All of our issued and outstanding ordinary shares are fully paid and non-assessable.  Holders of Class A Ordinary Shares and Class B Ordinary Shares have the same rights except for voting and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ordinary shares are entitled to such dividends as may be declared by our board of directors or declared by our shareholders by ordinary resolution (provided that no dividend may be declared by our shareholders which exceeds the amount recommended by our directors). Our Memorandum and Articles of Association provide that dividends may be declared and paid out of funds of our Company lawfully available therefor.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 immediately following the date on which the dividend is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Class B Ordinary Shares shall at all times vote together as one class on all matters submitted to a vote by the shareholders at any general meeting of our company. Subject to any rights or restrictions as to voting attached to any shares, on a show of hands every shareholder who is present in person and every person representing a shareholder by proxy shall have one vote per ordinary share. On a poll, every shareholder who is present in person and every person representing a shareholder by proxy shall have one vote for each Class A Ordinary Share and 50 votes for each Class B Ordinary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(1) Class A Ordinary Share at any time at the option of the holder thereof. The right to convert shall be exercisable by the holder of the Class B Ordinary Share by delivering a written notice to the Company that such holder elects to convert a specified number of Class B Ordinary Shares into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direct or indirect sale, transfer, assignment or disposition of any Class B Ordinary Share by a holder thereof or the direct or indirect transfer or assignment of the voting power attached to any Class B Ordinary Share through voting proxy or otherwise to any person or entity which is not (a) an affiliate of such holder; (b) another holder of Class B Ordinary Shares; or (c) an affiliate of such other holder, each such Class B Ordinary Share shall be automatically and immediately converted into one Class A Ordinary Share upon the effectiveness of such transfer such that the recipient receives one Class A Ordinary Share for every one Class B Ordinary Share attempted to be transferred.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means of the re-designation of each relevant Class B Ordinary Share as a Class A Ordinary Share. Class A Ordinary Shares are not convertible into Class B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75"/>
        <w:gridCol w:w="170"/>
        <w:gridCol w:w="4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the relevant stock exchange may determine to be payable or such lesser sum as our directors may from time to time require is paid to us in respect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ten calendar days’ notice being given by advertisement in such one or more newspapers, by electronic means or by any other means in accordance with the rules of the Nasdaq Capital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such assets shall be distributed so that, as nearly as may be, the losses shall be borne by our shareholders in proportion to the par value of the shares held by them.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Ordinary Shares and Forfeiture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amounts unpaid on their ordinary shares in a notice served to such shareholders at least 14 calendar days prior to the specified time of payment. The shares that have been called upon and remain unpaid are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to Change the Rights of Holders of Ordinary Shares (Item 10.B.4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attached to any class of shares may, subject to any rights or restrictions for the time being attached to any class of shares, only be materially and adversely varied with the consent in writing of the holders of at least two-thirds of the issued shares of that class or with the sanction of a special resolution passed at a separate meeting of the holders of the shares of that class. To every such separate meeting,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on the holders of the shares of any class issued with preferred or other rights shall not, subject to any rights or restrictions for the time being attached to the shares of that class, be deemed to be materially and adversely varied by, inter alia, the creation, allotment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or subsequent to the existing shares of that class or the redemption or purchase of any shares of any class by our company. The rights of the holders of the shares shall not be deemed to be materially and adversely varied by the creation or issue of shares with preferred or other rights including, without limitation, the creation of shares with enhanced or weighted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Ordinary Shares (Item 10.B.6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under the laws of the Cayman Islands or under the Memorandum and Articles of Association that limit the right of non-resident or foreign owners to hold or exercise voting rights on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Affecting Any Change of Control (Item 10.B.7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 </w:t>
      </w: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 (i) authorize our board of directors to issue preference shares in one or more series and to designate the price, rights, preferences, privileges and restrictions of such preference shares without any further vote or action by our shareholders, and (ii) limit the ability of shareholders to requisition and convene general meetings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 (Item 10.B.8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under the Cayman Companies Act or under the Memorandum and Articles of Association that require our company to disclose shareholder ownership above any particular ownership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the Law of Different Jurisdictions (Item 10.B.9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modeled after that of England and Wales but does not follow recent statutory enactments in England. In addition, the Cayman Companies Act differs from laws applicable to United States corporations and their shareholders. Set forth below is a summary of the significant differences between the provisions of the Cayman Companies Act applicable to us and the laws applicable to companies incorporated in the State of Delaware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of that Cayman subsidiary if a copy of the plan of merger is given to every member of that Cayman subsidiary to be merged unless that shareholder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Islands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Cayman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Cayman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960" w:right="0" w:hanging="48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acting in respect of his interest;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Cayman Companies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 upon a tender offer. When a tender offer is made and accepted by holders of 90% in value of the shares affected within four months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Suits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law authorities, which would in all likelihood be of persuasive authority in the Cayman Islands, the Cayman Islands courts can be expected (and have had occasion)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and the exceptions thereto) which permit a minority shareholder to commence a class action against, or derivative actions in the name of, our company to challenge:</w:t>
      </w:r>
    </w:p>
    <w:p>
      <w:pPr>
        <w:pStyle w:val="TextBody"/>
        <w:bidi w:val="0"/>
        <w:spacing w:before="0" w:after="0"/>
        <w:ind w:left="960" w:right="0" w:hanging="48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 which is </w:t>
            </w:r>
            <w:r>
              <w:rPr>
                <w:rFonts w:ascii="Times New Roman;Times;Serif" w:hAnsi="Times New Roman;Times;Serif"/>
                <w:i/>
                <w:sz w:val="20"/>
              </w:rPr>
              <w:t>ultra vires</w:t>
            </w:r>
            <w:r>
              <w:rPr>
                <w:rFonts w:ascii="Times New Roman;Times;Serif" w:hAnsi="Times New Roman;Times;Serif"/>
                <w:sz w:val="20"/>
              </w:rPr>
              <w:t> or illegal and is therefore incapable of ratification by the shareholders</w:t>
            </w:r>
            <w:r>
              <w:rPr>
                <w:rFonts w:ascii="Times New Roman;Times;Serif" w:hAnsi="Times New Roman;Times;Serif"/>
                <w:i/>
                <w:sz w:val="20"/>
              </w:rPr>
              <w:t>;</w:t>
            </w:r>
          </w:p>
        </w:tc>
      </w:tr>
    </w:tbl>
    <w:p>
      <w:pPr>
        <w:pStyle w:val="TextBody"/>
        <w:bidi w:val="0"/>
        <w:spacing w:before="0" w:after="0"/>
        <w:ind w:left="960" w:right="0" w:hanging="48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170"/>
        <w:gridCol w:w="9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 which constitutes a fraud against the minority where the wrongdoer are themselves in control of the company;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 which requires a resolution with a qualified (or special) majority (i.e. more than a simple majority) which has not been obtained.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that we shall indemnify each director (including alternate director), secretary, assistant secretary, or other officer for the time being and from time to time of the Company (but not including the Company’s auditors), and their personal representatives, against all actions, proceedings, costs, charges, expenses, losses, damages or liabilities incurred or sustained by such person,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have entered into indemnification agreements with our directors and senior executive officers that will provide such persons with additional indemnification beyond that provided in our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Fiduciary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w:t>
      </w:r>
      <w:r>
        <w:rPr>
          <w:rFonts w:ascii="Times New Roman;Times;Serif" w:hAnsi="Times New Roman;Times;Serif"/>
          <w:b w:val="false"/>
          <w:i/>
          <w:caps w:val="false"/>
          <w:smallCaps w:val="false"/>
          <w:sz w:val="20"/>
        </w:rPr>
        <w:t>bona fide </w:t>
      </w:r>
      <w:r>
        <w:rPr>
          <w:rFonts w:ascii="Times New Roman;Times;Serif" w:hAnsi="Times New Roman;Times;Serif"/>
          <w:b w:val="false"/>
          <w:i w:val="false"/>
          <w:caps w:val="false"/>
          <w:smallCaps w:val="false"/>
          <w:sz w:val="20"/>
        </w:rPr>
        <w:t>in the best interests of the company, a duty not to make a personal profit based on his or her position as director (unless the company permits him to do so) and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does not provide shareholders with any right to requisition a general meeting or to put any proposal before a general meeting. However, these rights may be provided in a company’s articles of association. Our Memorandum and Articles of Association allow our shareholders holding shares which at the date of the deposit of the requisition carry in aggregate not less than one-third of all votes attaching to all issued and outstanding shares of our company that as at the date of the deposit carry the right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subject to certain restrictions as contained therein,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director’s office shall be vacated if the director (i) becomes bankrupt or makes any arrangement or composition with his creditors; (ii) is found to be or becomes of unsound mind or dies; (iii) resigns his office by notice in writing to the company; or; (iv) is removed from office pursuant to any other provisions of 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Interested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Times;Serif" w:hAnsi="Times New Roman;Times;Serif"/>
          <w:b w:val="false"/>
          <w:i/>
          <w:caps w:val="false"/>
          <w:smallCaps w:val="false"/>
          <w:sz w:val="20"/>
        </w:rPr>
        <w:t>bona fide </w:t>
      </w:r>
      <w:r>
        <w:rPr>
          <w:rFonts w:ascii="Times New Roman;Times;Serif" w:hAnsi="Times New Roman;Times;Serif"/>
          <w:b w:val="false"/>
          <w:i w:val="false"/>
          <w:caps w:val="false"/>
          <w:smallCaps w:val="false"/>
          <w:sz w:val="20"/>
        </w:rPr>
        <w:t>in the best interests of the company and for a proper corporate purpose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hanging="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230"/>
        <w:gridCol w:w="42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or is likely to become unable to pay its debts;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intends to present a compromise or arrangement to its creditors (or classes thereof) either pursuant to the Companies Act, the law of a foreign country or by way of a consensual restructuring.</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the rights attached to any such class may, subject to any rights or restrictions for the time being attached to any class, only be materially and adversely varied with the consent in writing of the holders of at least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and adversely varied by, inter alia, the creation, allotment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or subsequent to them or the redemption or purchase of any shares of any class by our company. The rights of the holders of shares shall not be deemed to be materially and adversely varied by the creation or issue of shares with preferred or other rights including, without limitation, the creation of shares with enhanced or weighted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Cayman Islands law, our Memorandum and Articles of Association may only be amended with a special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 (Item 10.B.10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we may from time to time by ordinary resolution:</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new shares of such amount as we think expedient;</w:t>
            </w:r>
          </w:p>
        </w:tc>
      </w:tr>
    </w:tbl>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a larger amount than our existing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by the Memorandum and Articles of Association, provided that in the subdivision the proportion between the amount paid and the amount, if any, unpaid on each reduced share shall be the same as it was in case of the share from which the reduced share is derived;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that, at the date of the passing of that ordinary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special resolution, subject to any confirmation or consent required by the Cayman Companies Act, reduce our share capital or any capital redemption reserve in any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(Item 12.A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 (Item 12.B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Securities (Item 12.C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American Depositary Shares (Items 12.D.1 and 12.D.2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7" w:name="ea029738501ex4-12.htm"/>
      <w:bookmarkStart w:id="48" w:name="ksea029738501ex412"/>
      <w:bookmarkEnd w:id="47"/>
      <w:bookmarkEnd w:id="48"/>
      <w:r>
        <w:rPr>
          <w:b/>
        </w:rPr>
        <w:t>Exhibit 4.12</w:t>
      </w:r>
      <w:r>
        <w:br w:type="page"/>
      </w:r>
    </w:p>
    <w:p>
      <w:pPr>
        <w:pStyle w:val="TextBody"/>
        <w:bidi w:val="0"/>
        <w:spacing w:before="0" w:after="283"/>
        <w:jc w:val="left"/>
        <w:rPr/>
      </w:pPr>
      <w:r>
        <w:rPr/>
        <w:t> </w:t>
      </w:r>
    </w:p>
    <w:tbl>
      <w:tblPr>
        <w:tblW w:w="10205" w:type="dxa"/>
        <w:jc w:val="left"/>
        <w:tblInd w:w="-15" w:type="dxa"/>
        <w:tblLayout w:type="fixed"/>
        <w:tblCellMar>
          <w:top w:w="28" w:type="dxa"/>
          <w:left w:w="100" w:type="dxa"/>
          <w:bottom w:w="28" w:type="dxa"/>
          <w:right w:w="0" w:type="dxa"/>
        </w:tblCellMar>
      </w:tblPr>
      <w:tblGrid>
        <w:gridCol w:w="5447"/>
        <w:gridCol w:w="4758"/>
      </w:tblGrid>
      <w:tr>
        <w:trPr/>
        <w:tc>
          <w:tcPr>
            <w:tcW w:w="5447" w:type="dxa"/>
            <w:tcBorders>
              <w:top w:val="single" w:sz="12" w:space="0" w:color="000000"/>
              <w:left w:val="single" w:sz="12" w:space="0" w:color="000000"/>
              <w:bottom w:val="single" w:sz="12" w:space="0" w:color="000000"/>
            </w:tcBorders>
            <w:vAlign w:val="center"/>
          </w:tcPr>
          <w:p>
            <w:pPr>
              <w:pStyle w:val="TableContents"/>
              <w:bidi w:val="0"/>
              <w:spacing w:before="10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UGOVOR O PROJEKTOVANJU I </w:t>
              <w:br/>
              <w:t>IZVO&amp;Dstrok;ENJU RADOVA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Zaklju&amp;ccaron;en dana __________ godine izme&amp;dstrok;u: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CCSC TECHNOLOGY DOO BEOGRAD </w:t>
            </w:r>
            <w:r>
              <w:rPr>
                <w:rFonts w:ascii="Times New Roman;Times;Serif" w:hAnsi="Times New Roman;Times;Serif"/>
                <w:b w:val="false"/>
                <w:i w:val="false"/>
                <w:caps w:val="false"/>
                <w:smallCaps w:val="false"/>
                <w:sz w:val="20"/>
              </w:rPr>
              <w:t>sa sedištem u Beogradu, ul. Savska br. 13, mati&amp;ccaron;ni broj: 21990086, koga zastupa direktor ______________ (u daljem tekstu: Naru&amp;ccaron;ilac)</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p>
            <w:pPr>
              <w:pStyle w:val="TableContents"/>
              <w:bidi w:val="0"/>
              <w:spacing w:before="0" w:after="0"/>
              <w:ind w:left="237" w:right="237"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KONSTRUKTOR KONSALTING DOO BEOGRAD.</w:t>
            </w:r>
            <w:r>
              <w:rPr>
                <w:rFonts w:ascii="Times New Roman;Times;Serif" w:hAnsi="Times New Roman;Times;Serif"/>
                <w:b w:val="false"/>
                <w:i w:val="false"/>
                <w:caps w:val="false"/>
                <w:smallCaps w:val="false"/>
                <w:sz w:val="20"/>
              </w:rPr>
              <w:t>, sa sedištem u ulici Oslobo&amp;dstrok;enja 10, Rakovica, Beograd, mati&amp;ccaron;ni broj 17588338, koga zastupaju direktori Vesna Prodanovi&amp;cacute; i Dragan Brki&amp;cacute; uz supotpis Ognjena Kisina, osniva&amp;ccaron;a (u daljem tekstu: Izvo&amp;dstrok;a&amp;ccaron;)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daljem tekstu tako&amp;dstrok;e pojedina&amp;ccaron;no ozna&amp;ccaron;eni i kao Ugovora strana a zajedno ozna&amp;ccaron;eni kao Ugovorne strane)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OBZIROM DA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Naru&amp;ccaron;ilac namerava da anga&amp;zcaron;uje Izvo&amp;dstrok;a&amp;ccaron;a da projektuje i izvede radove u vezi sa izgradnjom Proizvodnog objekta a Izvo&amp;dstrok;a&amp;ccaron; radova je spreman da preuzme obavezu da projektuje predmetni Proizvodni objekat i izgradi isti po sistemu “klju&amp;ccaron; u ruke”,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Izvo&amp;dstrok;a&amp;ccaron; garantuje da poseduje neophodno tehni&amp;ccaron;ko i tehnološko iskustvo i da &amp;cacute;e obezbediti odgovaraju&amp;cacute;u opremu, material, radnu snagu i resurse kako bi Naru&amp;ccaron;iocu obezbedio projekat za izvo&amp;dstrok;enje Proizvodnog objekta i kako bi obezbedio izvo&amp;dstrok;enje gra&amp;dstrok;evinskih radova,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Izvo&amp;dstrok;a&amp;ccaron; garantuje da ispunjava sve zakonske uslove za projektovanje i izvo&amp;dstrok;enje gra&amp;dstrok;evinskih radova kao i da ne postoje prepreke da Izvo&amp;dstrok;a&amp;ccaron; zaklju&amp;ccaron;i ovaj Ugovor sa Naru&amp;ccaron;iocem,</w:t>
            </w:r>
          </w:p>
          <w:p>
            <w:pPr>
              <w:pStyle w:val="TableContents"/>
              <w:bidi w:val="0"/>
              <w:spacing w:before="0" w:after="0"/>
              <w:ind w:left="0" w:right="0" w:hanging="0"/>
              <w:jc w:val="left"/>
              <w:rPr>
                <w:caps w:val="false"/>
                <w:smallCaps w:val="false"/>
              </w:rPr>
            </w:pPr>
            <w:r>
              <w:rPr>
                <w:caps w:val="false"/>
                <w:smallCaps w:val="false"/>
              </w:rPr>
              <w:t> </w:t>
            </w:r>
          </w:p>
        </w:tc>
        <w:tc>
          <w:tcPr>
            <w:tcW w:w="4758" w:type="dxa"/>
            <w:tcBorders>
              <w:top w:val="single" w:sz="12" w:space="0" w:color="000000"/>
              <w:left w:val="single" w:sz="12" w:space="0" w:color="000000"/>
              <w:bottom w:val="single" w:sz="12" w:space="0" w:color="000000"/>
              <w:right w:val="single" w:sz="12" w:space="0" w:color="000000"/>
            </w:tcBorders>
            <w:tcMar>
              <w:right w:w="100" w:type="dxa"/>
            </w:tcMar>
            <w:vAlign w:val="center"/>
          </w:tcPr>
          <w:p>
            <w:pPr>
              <w:pStyle w:val="TableContents"/>
              <w:bidi w:val="0"/>
              <w:spacing w:before="10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 AND BUILD CONTRACT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Concluded on 14 Nov 2025, by and between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CCSC TECHNOLOGY DOO BEOGRAD,</w:t>
            </w:r>
            <w:r>
              <w:rPr>
                <w:rFonts w:ascii="Times New Roman;Times;Serif" w:hAnsi="Times New Roman;Times;Serif"/>
                <w:b w:val="false"/>
                <w:i w:val="false"/>
                <w:caps w:val="false"/>
                <w:smallCaps w:val="false"/>
                <w:sz w:val="20"/>
              </w:rPr>
              <w:t xml:space="preserve"> with registered office in Belgrade, Savska Street no. 13, registration no: 21990086, represented by Director Mr Kung Lok CHIU (hereinafter: the Client)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KONSTRUKTOR KONSALTING DOO BEOGRAD,</w:t>
            </w:r>
            <w:r>
              <w:rPr>
                <w:rFonts w:ascii="Times New Roman;Times;Serif" w:hAnsi="Times New Roman;Times;Serif"/>
                <w:b w:val="false"/>
                <w:i w:val="false"/>
                <w:caps w:val="false"/>
                <w:smallCaps w:val="false"/>
                <w:sz w:val="20"/>
              </w:rPr>
              <w:t xml:space="preserve"> with registered office at Oslobo&amp;dstrok;enja 10, Rakovica, Belgrade, registration no. 17588338, represented by directors Vesna Prodanovic and Dragan Brki&amp;cacute; with countersignature of Ognjen Kisin (hereinafter: the Contractor)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also individually referred to as the Party and jointly referred to as the Parties)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Client intends to engage the Contractor to design and carry out works related to the construction of Client’s Production facility and the Contractor is willing to undertake the obligation to design the subject Production facility and to construct the same according to the “turnkey” system,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Contractor guarantees that it possesses the requisite technical and technological background and shall provide the suitable equipment, materials, labour and resources for providing the Client with Execution design of the Production facility and providing the execution of the construction works,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Contractor guarantees to have fulfilled all legal conditions for the project design and execution of construction works and that there is no setback for the Contractor to conclude this Contract with the Client,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4757"/>
        <w:gridCol w:w="5448"/>
      </w:tblGrid>
      <w:tr>
        <w:trPr/>
        <w:tc>
          <w:tcPr>
            <w:tcW w:w="475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t> </w:t>
            </w:r>
            <w:r>
              <w:rPr>
                <w:rFonts w:ascii="Times New Roman;Times;Serif" w:hAnsi="Times New Roman;Times;Serif"/>
                <w:b w:val="false"/>
                <w:i w:val="false"/>
                <w:caps w:val="false"/>
                <w:smallCaps w:val="false"/>
                <w:sz w:val="20"/>
              </w:rPr>
              <w:t>Naru&amp;ccaron;ilac garantuje da ispunjava sve zakonske uslove kao i da poseduje sve potrebne saglasnosti, odobrenja, dozvole, sredstva i sli&amp;ccaron;no za zaklju&amp;ccaron;enje i izvršenje prava i obaveza preuzetih ovim ugovorom,</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    Nakon prijateljskih pregovora, Naru&amp;ccaron;ilac i Izvo&amp;dstrok;a&amp;ccaron; su se saglasili da zaklju&amp;ccaron;e ugovor, u skladu sa uslovima koji su navedeni u daljem tekstu:</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ZNA&amp;Ccaron;ENJE IZRAZA I TUMA&amp;Ccaron;ENJE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Osim ukoliko kontekst izri&amp;ccaron;ito ozna&amp;ccaron;ava druga&amp;ccaron;ije, slede&amp;cacute;i izrazi u ovom Ugovoru ima&amp;cacute;e zna&amp;ccaron;enje koje im je dodeljeno u nastavku, uklju&amp;ccaron;uju&amp;ccaron;i srodne izraze koji imaju odgovaraju&amp;cacute;e zna&amp;ccaron;enje: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Avans” ozna&amp;ccaron;ava avansno pla&amp;cacute;anje, izvršeno od strane Naru&amp;ccaron;ioca, na na&amp;ccaron;in predvi&amp;dstrok;en &amp;ccaron;lanom 11.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Garancija na primljeni avans” ozna&amp;ccaron;ava garanciju koje je Izvo&amp;dstrok;a&amp;ccaron; radova du&amp;zcaron;an da pru&amp;zcaron;i Naru&amp;ccaron;iocu, radi obezbe&amp;dstrok;enja datog avansa, na na&amp;ccaron;in predvi&amp;dstrok;en &amp;ccaron;lanom 24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Merodavno pravo” ozna&amp;ccaron;ava sve zakone, podzakonske akte, kodekse, uredbe, i ostala opšta pravila koja se primenjuju u Republici Srbiji, i sva rešenja, dozvole, licence, odobrenja, odluke, zabrane, uredbe i sli&amp;ccaron;no, radnje bilo kog dr&amp;zcaron;avnog organa i sve odredbe u skladu sa kojima treba postupati, a koje se odnose na izvršenje radova, u svim slu&amp;ccaron;ajevima u meri u kojoj se odnose na Ugovor ili neposredno ili posredno uti&amp;ccaron;u na Ugovor, Ugovorne strane i Radove ili bilo koji njihov deo.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Organi” ozna&amp;ccaron;ava sve zakonodavne i upravne organe, tela centralne, regionalne ili lokalne javne vlasti, osobe ili institucije kojima je povereno vršenje suverene nadle&amp;zcaron;nosti, koje imaju ili tvrde da imaju nadle&amp;zcaron;nost nad svim delovima ili bilo kom delu Gradilišta ili Proizvodno, skladišno - poslovnog objekta u Republici Srbiji.</w:t>
            </w:r>
          </w:p>
        </w:tc>
        <w:tc>
          <w:tcPr>
            <w:tcW w:w="5448"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the Client guarantees to have fulfilled all legal conditions and that he has all requirable consents, approvals, permits, funds etc. for the conclusion of the contract and enforcement of all the rights and obligations under this Contract;</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after friendly consultations, the Client and the Contractor have agreed to enter into a contract, according to the terms and conditions set forth hereunder;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DEFINITIONS AND INTERPRETATION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clearly indicates a contrary intention, the following expressions in this Contract shall bear the meanings assigned to them bellow and cognate expressions bearing corresponding meanings: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Advance” means the advance payment made by the Client as provide in Article 11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Advance Payment Guarantee” means a guarantee on received advance, which the Contractor is obliged to provide to the Client in manner described in article 24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laws” means all laws, regulations, codes, statutes and other rules of general applicability in Republic of Serbia, and all orders, permits, licenses, concessions, judgments, injunctions, decrees and the like, action of any governmental authority, and all the provisions which are to be observed pursuant to the norms and regulations associated with performance of the Works, in each case to the extent applicable to or directly or indirectly affecting the Contract contemplated hereunder, the Parties and the Works or any part thereof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Authority” means all legislative and administrative authorities, bodies of central, regional or local public law entities, persons or institutions entrusted with sovereign competence having or claiming jurisdiction over all or any part of the Site and Production facility or the use thereof in the Republic of Serbia.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423"/>
        <w:gridCol w:w="4782"/>
      </w:tblGrid>
      <w:tr>
        <w:trPr/>
        <w:tc>
          <w:tcPr>
            <w:tcW w:w="542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Radni dan” ozna&amp;ccaron;ava radni dan u Republici Srbiji.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Nalozi za promenu” ozna&amp;ccaron;avaju neophodni pisani nalog za promenu u pogledu promene roka izvo&amp;dstrok;enja radova i ugovorne cene, koji je izdat i odobren od strane Naru&amp;ccaron;ioca, sve navedeno u &amp;ccaron;lanu 21.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Zahtev za izmenu” je zahtev za tehni&amp;ccaron;ku promenu podnet od strane Naru&amp;ccaron;ioca i opisan u &amp;ccaron;lanu 21.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Datum završetka” ozna&amp;ccaron;ava poslednji Dan vremena za završetak iz &amp;ccaron;lana 17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Gra&amp;dstrok;evinski dnevnik” ozna&amp;ccaron;ava dokument bele&amp;zcaron;enja dnevnih aktivnosti na Gradilištu, koju potpisuju lice koje vrši Stru&amp;ccaron;ni nadzor i Odgovorni izvo&amp;dstrok;a&amp;ccaron; radova u skladu sa Merodavnim pravom.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Gra&amp;dstrok;evinska dozvola” ozna&amp;ccaron;ava kona&amp;ccaron;no i pravnosna&amp;zcaron;no rešenje o odobrenju za izgradnju, izdato od strane nadle&amp;zcaron;nog organa dana 26.05.2025. godine broj ROP-MER- CPI-2/2025.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Spefikacija gra&amp;dstrok;enja” ozna&amp;ccaron;ava sve tehni&amp;ccaron;ke specifikacije koje se odnose na Radove koji proisti&amp;ccaron;u iz Tehni&amp;ccaron;ke dokumentacije kao i projekat za gra&amp;dstrok;evinsku dozvolu, Gra&amp;dstrok;evinsku dozvolu.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Ugovor” ozna&amp;ccaron;ava ovaj Ugovor o projektovanju i izvo&amp;dstrok;enju radova zajedno sa svim Prilozima koji &amp;ccaron;ine njegov sastavni deo.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Ugovorena cena” ozna&amp;ccaron;ava paušalni iznos naknade koji se ispla&amp;cacute;uje Izvo&amp;dstrok;a&amp;ccaron;u u vezi sa izvo&amp;dstrok;enjem i završetkom Radova, na na&amp;ccaron;in definisan &amp;ccaron;lanom 10.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Zemlja” ozna&amp;ccaron;ava teritoriju Republike Srbije.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Dan” ozna&amp;ccaron;ava jedan kalendarski dan, osim ako je izri&amp;ccaron;ito navedeno druga&amp;ccaron;ije.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Projekt menad&amp;zcaron;er” ozna&amp;ccaron;ava rukovodioca Radova koga odre&amp;dstrok;uje Izvo&amp;dstrok;a&amp;ccaron;, sa ovlaš&amp;cacute;enjem da vodi koordinira i kontroliše sve aktivnosti koje se odnose na vršenje Radova.</w:t>
            </w:r>
          </w:p>
          <w:p>
            <w:pPr>
              <w:pStyle w:val="TableContents"/>
              <w:bidi w:val="0"/>
              <w:spacing w:before="0" w:after="0"/>
              <w:ind w:left="0" w:right="0" w:hanging="0"/>
              <w:jc w:val="left"/>
              <w:rPr>
                <w:caps w:val="false"/>
                <w:smallCaps w:val="false"/>
              </w:rPr>
            </w:pPr>
            <w:r>
              <w:rPr>
                <w:caps w:val="false"/>
                <w:smallCaps w:val="false"/>
              </w:rPr>
              <w:t> </w:t>
            </w:r>
          </w:p>
        </w:tc>
        <w:tc>
          <w:tcPr>
            <w:tcW w:w="4782"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working day in the Republic of Serbia.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orders” means a requested written order for a change regarding the changes of the completion term and contract price, issued and approved by the Client, all prescribed in the article 21 of the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Request for change” is request for technical change issued from the Client and prescribed in article 21. of the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Completion date” means the last Day of the Time for Completion from Article 17 hereof.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Construction book” means the document recording daily activities on Site to be subscribed by the person performing expert supervision and the Site manager according to applicable law.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Construction permit” means final and legally binding decision on approval of construction granted by the competent Authority on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May, 2025 number ROP-MER- CPI-2/2025.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Construction Specifications” means all the technical specifications regarding the Works resulting from the Technical Documentation as well as Building permit design and Construction permit.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Contract” means this Design and Build Contract together with all its Appendixes that are its integral part.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Contract price” means the lump-sum amount of the consideration payable to the Contractor in respect of the execution and completion of the Works, as defined in Article 10.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Country” means the territory of the Republic of Serbia.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Day” means one calendar day, unless stated specifically to the contrary.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437"/>
        <w:gridCol w:w="4768"/>
      </w:tblGrid>
      <w:tr>
        <w:trPr/>
        <w:tc>
          <w:tcPr>
            <w:tcW w:w="543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Odgovorni izvo&amp;dstrok;a&amp;ccaron; radova” ozna&amp;ccaron;ava rukovodioca Radova koga odre&amp;dstrok;uje Izvo&amp;dstrok;a&amp;ccaron;, sa ovlaš&amp;cacute;enjem da rukovodi gra&amp;dstrok;enjem Proizvodnog objekta, odnosno izvo&amp;dstrok;enjem radova i poseduje sve licence propisane Merodavnim pravom.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Dan zaklju&amp;ccaron;enja” ozna&amp;ccaron;ava dan zaklju&amp;ccaron;enja (potpisivanja) ovog Ugovora od strane obe Ugovorne strane. Ukoliko Ugovorne strane potpišu ovaj Ugovor na razli&amp;ccaron;iti datum, smatra&amp;cacute;e se da je Ugovor zaklju&amp;ccaron;en kasnije od ta dva datuma, odnosno kasniji od ta dva datuma smatra&amp;cacute;e se Danom zaklju&amp;ccaron;enja.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EUR” ozna&amp;ccaron;ava Euro, zvani&amp;ccaron;nu valutu u Evropskoj Uniji.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Okon&amp;ccaron;ana situacija” ozna&amp;ccaron;ava dokument koji dostavlja Izvo&amp;dstrok;a&amp;ccaron; Naru&amp;ccaron;iocu nakon izvršene Primopredaje Radova i nakon izdavanja Pozitivnog zapisnika o tehni&amp;ccaron;kom prijemu.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Zapisnik o primopredaji” ozna&amp;ccaron;ava zapisnik o primopredaji koji &amp;cacute;e biti sa&amp;ccaron;injen na dan primopredaje, u skladu sa &amp;ccaron;lanom 22.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Mese&amp;ccaron;na situacija” ozna&amp;ccaron;ava bilo koju situaciju izdatu od strane Izvo&amp;dstrok;a&amp;ccaron;a izuzev Okon&amp;ccaron;ane situacije.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Proizvodni objekat” ozna&amp;ccaron;ava predmet ovog Ugovora bli&amp;zcaron;e opisan u &amp;ccaron;lanu 3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NBS” ozna&amp;ccaron;ava Narodnu banku Srbije.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Garancija za dobro izvršenje posla” ozna&amp;ccaron;ava garanciju za dobro izvršenje posla koju Izvo&amp;dstrok;a&amp;ccaron; dostavlja Naru&amp;ccaron;iocu, na na&amp;ccaron;in predvi&amp;dstrok;en u &amp;ccaron;lanu 25.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Predstavnik Izvo&amp;dstrok;a&amp;ccaron;a” ozna&amp;ccaron;ava osobu imenovanu od strane Izvo&amp;dstrok;a&amp;ccaron;a koja je u potpunosti opunomo&amp;cacute;ena i ovlaš&amp;cacute;ena da nastupa za ra&amp;ccaron;un i u ime Izvo&amp;dstrok;a&amp;ccaron;a radova u svim pitanjima koja se odnose na ovaj Ugovor.</w:t>
            </w:r>
          </w:p>
          <w:p>
            <w:pPr>
              <w:pStyle w:val="TableContents"/>
              <w:bidi w:val="0"/>
              <w:spacing w:before="0" w:after="0"/>
              <w:ind w:left="0" w:right="0" w:hanging="0"/>
              <w:jc w:val="left"/>
              <w:rPr>
                <w:caps w:val="false"/>
                <w:smallCaps w:val="false"/>
              </w:rPr>
            </w:pPr>
            <w:r>
              <w:rPr>
                <w:caps w:val="false"/>
                <w:smallCaps w:val="false"/>
              </w:rPr>
              <w:t> </w:t>
            </w:r>
          </w:p>
        </w:tc>
        <w:tc>
          <w:tcPr>
            <w:tcW w:w="4768"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Project manager” means the manager of Works appointed by the Contractor with the power to lead, co-ordinate and control all the activities related to the execution of Works.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Site manager” means the manager of Works appointed by the Contractor who manages the construction of the Production facility i.e. the execution of the works and has all the licenses by the Applicable 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Date” shall mean the date of execution (signing) of this Contract by both Parties. Should the Parties sign this Contract on different dates, it shall be considered that the Contract has been entered on the later of such two dates, i.e. the later of such two dates shall be considered as the Effective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EUR” means Euro, being official currency in the European Union.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Final Payment Certificate” means the certificate that will be delivered by the Contractor to the Client when the handover of Works is completed and after the issuance of the Positive report of the technical inspection.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Handover protocol” means handover protocol made on the date of handover in accordance with article 22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Monthly payment certificate” means any payment certificate issued by the Contractor other than the Final Payment Certificate.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Production facility” means the subject of this Contract determined in article 3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NBS” means the National bank of Serbia.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Performance guarantee” means the performance guarantee to be provided to the Client by the Contractor in terms of article 25.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Representative of the Contractor” means the person appointed by the Contractor who shall be fully authorized and empowered to act for and on behalf of the Contractor in all matters pertaining to this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321"/>
        <w:gridCol w:w="4884"/>
      </w:tblGrid>
      <w:tr>
        <w:trPr/>
        <w:tc>
          <w:tcPr>
            <w:tcW w:w="532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RSD” ozna&amp;ccaron;ava dinar Republike Srbije, kao zvani&amp;ccaron;nu valutu u Republici Srbiji.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Gradilište” ozna&amp;ccaron;ava kat. parcelu br. 60/6 i 60/7 katastarska opština Brest.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Stru&amp;ccaron;ni nadzor” ozna&amp;ccaron;ava osobu koja je imenovana od strane Naru&amp;ccaron;ioca radi vršenja stru&amp;ccaron;nog nadzora nad izvo&amp;dstrok;enjem Radova u ime Naru&amp;ccaron;ioca, a koja ispunjava uslove predvi&amp;dstrok;ene Merodavnim pravom.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Tehni&amp;ccaron;ka dokumentacija” ozna&amp;ccaron;ava detaljne specifikacije i opise u vezi sa Radovima shodno &amp;ccaron;lanu 7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Dinami&amp;ccaron;ki plan” ozna&amp;ccaron;ava vremenske planove za izvo&amp;dstrok;enje Radova, kojim se, izme&amp;dstrok;u ostalog preciziraju razli&amp;ccaron;ite faze izvo&amp;dstrok;enja Radova, koji je izra&amp;dstrok;en od strane Izvo&amp;dstrok;a&amp;ccaron;a i odobren od strane Naru&amp;ccaron;ioca. Dinami&amp;ccaron;ki plan koji odobri Naru&amp;ccaron;ilac smatra&amp;cacute;e se sastavnim delom ovog Ugovora koji &amp;cacute;e biti prilo&amp;zcaron;en uz Ugovor kao Prilog 3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Pozitivni zapisnik o tehni&amp;ccaron;kom prijemu” ozna&amp;ccaron;ava kona&amp;ccaron;ni izveštaj o tehni&amp;ccaron;kom pregledu izvedenih Radova od strane Izvo&amp;dstrok;a&amp;ccaron;a na Gradilištu, izdat od strane komisije nadle&amp;zcaron;ne za tehni&amp;ccaron;ki pregled izvedenih Radova u skladu sa Zakonom i pozitivni izveštaj nadle&amp;zcaron;nog Ministarstva unutrašnjih poslova (protivpo&amp;zcaron;arne policije).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Radovi” ozna&amp;ccaron;avaju izvršenje svih radova na izgradnji Proizvodnog objekta na Gradilištu, detaljno navedenih i definisanih u Tehni&amp;ccaron;koj dokumentaciji odnosno ozna&amp;ccaron;ava uslugu izgradnje koju je Izvo&amp;dstrok;a&amp;ccaron; du&amp;zcaron;an da izvrši i to: izrada Projekta za izvo&amp;dstrok;enje (PZI), arhitektonsko gra&amp;dstrok;evinske radove, spoljno ure&amp;dstrok;enje, hidrotehni&amp;ccaron;ke instalacije, elektro instalacije, telekomunikacione i signalne instalacije, sistem za dojavu po&amp;zcaron;ara, HVAC instalacije, bezbednost od po&amp;zcaron;ara, a sve na na&amp;ccaron;in preciziran i definisan u Tehni&amp;ccaron;koj dokumentaciji, u cilju završetka Proizvodnog objekta i pribavljanja Pozitivnog zapisnika o tehni&amp;ccaron;kom prijemu.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Garancija na ime garantnog roka” ozna&amp;ccaron;ava garanciju koju Izvo&amp;dstrok;a&amp;ccaron; dostavlja Naru&amp;ccaron;iocu, na na&amp;ccaron;in predvi&amp;dstrok;en u &amp;ccaron;lanu 28. ovog Ugovora.</w:t>
            </w:r>
          </w:p>
        </w:tc>
        <w:tc>
          <w:tcPr>
            <w:tcW w:w="4884"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RSD” means the Republic Serbia dinar, being official currency in the Republic of Serbia.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Site” means cadastral plot no 60/6 and 60/7 cadastral municipality Brest.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Site Supervision” means a person who is appointed by the Client for the purpose of performing expert supervision of the execution of Works in front of the Client, who meets the requirements prescribed by the Applicable 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Technical documentation” means detailed specifications and descriptions in respect of the Works and article 7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Time schedule” means a time schedules for the execution of Works specifying, inter alia, the various stages of the execution of the Works prepared by the Contractor and approved by the Client. Time Schedule which is approved by the Client will be deemed as an integral part of this Contract, and will be enclosed to the Contract as the Appendix 3 to the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Positive report of the technical inspection” means final report on technical examination of all the Works performed by the Contractor at the Site, issued by commission in charge for technical examination of the Works in accordance with the Laws including the positive report of the competent Ministry of Internal Affairs (fire police)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Works” mean execution of all works on construction of phase I of the Production facility on the Site, as in detail specified and defined in Technical Documentation i.e. means construction services to be provided by the Contractor, including preparation of Execution design (PZI), architectural and structural works, external areas and landscaping, hydrotechnical installations, electrical installations, telecommunications and signal installations, fire alarm system, HVAC installations, fire safety, as detailed, specified and defined in the Technical Documentation, in order to complete the Production facility obtain issuance of Positive report of the technical inspection.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373"/>
        <w:gridCol w:w="4832"/>
      </w:tblGrid>
      <w:tr>
        <w:trPr/>
        <w:tc>
          <w:tcPr>
            <w:tcW w:w="537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Proizvodna oprema” ozna&amp;ccaron;ava opremu koju instalira Naru&amp;ccaron;ilac i koja &amp;cacute;e biti koriš&amp;cacute;ena u proizvodnom procesu.</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Svi pojmovi u ovom Ugovoru koji su gore definisani, primenjuju se bez obzira da li su navedeni u jednini ili mno&amp;zcaron;ini; definisani pojmovi su nazna&amp;ccaron;eni velikim po&amp;ccaron;etnim slovom.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Bilo koja re&amp;ccaron; ili fraza definisana u uvodnom delu ili daljem tekstu ovog Ugovora u suprotnosti sa definisanjem u &amp;ccaron;lanu 1 ima&amp;cacute;e zna&amp;ccaron;enje koje joj je dodeljeno u &amp;ccaron;lanu 1, osim ukoliko je suprotno izri&amp;ccaron;ito navedeno ili suprotno proizlazi iz samog kontektsta.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Svi naslovi i podnaslovi odeljaka i upotreba bold formatiranja nisu od uticaja na tuma&amp;ccaron;enje bilo koje odredbe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Svako upu&amp;cacute;ivanje na re&amp;ccaron;i “uklju&amp;ccaron;uje” ili “uklju&amp;ccaron;uju&amp;cacute;i” tuma&amp;ccaron;i&amp;cacute;e se bez izuzetaka.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Upu&amp;cacute;ivanje na vreme tokom dana odnosi se na vreme tokom dana u skladu sa Centralnom evropskom vremenskom zonom.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Svi prilozi uz ovaj Ugovor predstavljaju sastavni deo ovog Ugovora.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Svi zakoni, uredbe, rešenja, pravilnici, standardi ili odredbe koje se pominju u ovom Ugovoru uklju&amp;ccaron;uju svaku izmenu zakona i obuhvataju odredbe u va&amp;zcaron;e&amp;cacute;oj verziji.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Svako upu&amp;cacute;ivanje na Ugovornu stranu se tako&amp;dstrok;e odnosi i na njene sukcesore i sledbenike kao i na sve slede&amp;cacute;e sukcesore i sledbenike odnosne Ugovorne strane.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Slede&amp;cacute;a dokumenta &amp;ccaron;ine sastavni deo ovog Ugovora i svaki od njih &amp;cacute;e se smatrati i tuma&amp;ccaron;iti kao sastavni deo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 1 – Ponuda sa tenderskom dokumentacijom, Projektom za gra&amp;dstrok;evinsku dozvolu i Gra&amp;dstrok;evinskom dozvolom;</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 2 – Situacioni plan;</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 3 – Dinami&amp;ccaron;ki plan;</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 4 – Vendor lista;</w:t>
            </w:r>
          </w:p>
        </w:tc>
        <w:tc>
          <w:tcPr>
            <w:tcW w:w="4832"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Guarantee for the warranty period” means the guarantee to be provided to the Client by the Contractor in terms of article 28.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Production Equipment” means equipment installed by the Client which will be used in the production process.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definitions set forth in this Contract can be applied whether stated in the singular or plural, the defined terms shall appear in capitalized letters.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word or phrase defined in the recitals or in the further text of this Contract as opposed to being defined in the Article 1 shall have the meaning assigned to it in Article 1, unless the contrary is expressly stated or the contrary clearly appears from the context.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headings and sub-headings of sections and use of bold typeface shall not affect the interpretation of any provision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the word “includes” or “including” shall be construed without limitation.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time during the day refers to time during the day according to the Central European Time.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schedules hereto shall constitute an integral part of this Contract.</w:t>
            </w:r>
          </w:p>
          <w:p>
            <w:pPr>
              <w:pStyle w:val="TableContents"/>
              <w:bidi w:val="0"/>
              <w:spacing w:before="0" w:after="0"/>
              <w:ind w:left="36"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laws, decrees, orders, regulations, standards or other provisions referred to in this Contract shall include any innovations to the law and include provisions in the valid version.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 Party hereto shall also be a reference to its successors and assigns and any subsequent successors and assigns of the respective Party.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documentation shall constitute part of this Contract and each shall be considered and construed as integral part of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1 – Offer with tender documentation, Building permit design and Construction permit;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2 – Site Layout;</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3 – Time schedule;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10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4 – Vendor list;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280"/>
        <w:gridCol w:w="4925"/>
      </w:tblGrid>
      <w:tr>
        <w:trPr/>
        <w:tc>
          <w:tcPr>
            <w:tcW w:w="52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 5 – Nacrt bankarske garancije za avans;</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 6 – Nacrt bankarske garancije za dobro izvršenje posla;</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br.7 – Nacrt bankarske garancije za garantni rok;</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 8 – Nacrt polise osiguranja;</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 9 - Obra&amp;ccaron;unska tabela realizacije radova</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br. 10 – Spisak potencijalnih Podizvo&amp;dstrok;a&amp;ccaron;a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neslaganja i/ili nedoslednosti izme&amp;dstrok;u odredaba gore navedenih dokumenata u vezi obima Radova, u odre&amp;dstrok;ivanju redosleda prioriteta dokumenata se, primenjuje se redosled po kojem su dokumenti navedeni u prethodnom stavu.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PREDMET UGOVORA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Ovim ugovorom Izvo&amp;dstrok;a&amp;ccaron; se obavezuje da, na na&amp;ccaron;in i u obimu koji su predvi&amp;dstrok;eni ovim ugovorom, a saglasno usvojenoj Ponudi KK 214-1/25 od dana 16.07.2025. godine koja je prilog 1 uz ovaj Ugovor, Tehni&amp;ccaron;koj dokumentaciji i drugim prilozima uz ovaj Ugovor, za potrebe Naru&amp;ccaron;ioca izvrši projektovanje i izgradnju Proizvodnog objekta koji &amp;cacute;e biti sagra&amp;dstrok;en na katastarskoj parceli br. 60/6 i 60/7, Katastarska opština Brest po sistemu “Klju&amp;ccaron; u ruke”.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se obavezuje da u sklopu predmeta ugovora izvede Radove koji uklju&amp;ccaron;uju: izradu Projekta za izvo&amp;dstrok;enje (PZI), arhitektonsko gra&amp;dstrok;evinske radove, spoljno ure&amp;dstrok;enje, hidrotehni&amp;ccaron;ke instalacije, elektro instalacije, telekomunikacione i signalne instalacije, sistem za dojavu po&amp;zcaron;ara, HVAC instalacije, bezbednost od po&amp;zcaron;ara.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Radi izbegavanja svake sumnje, kupovina, instalacija i puštanje Proizvodne opreme u rad kao i svi povezani procesi predstavljaju obavezu Naru&amp;ccaron;ioca.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Ukupna bruto površina svih objekata iznosi cca. 2,922.21 m2.</w:t>
            </w:r>
          </w:p>
        </w:tc>
        <w:tc>
          <w:tcPr>
            <w:tcW w:w="492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5 – Draft of the advance bank guarantee;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6– Draft of the Performance bank guarantee;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7 – Draft of the warranty bank guarantee;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8. – Draft of the insurances policy;</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9 – Calculation table for realization of the works</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No 10 – List of potential Subcontractors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any discrepancy and/or </w:t>
            </w:r>
            <w:r>
              <w:rPr>
                <w:rFonts w:ascii="Times New Roman;Times;Serif" w:hAnsi="Times New Roman;Times;Serif"/>
                <w:b w:val="false"/>
                <w:i w:val="false"/>
                <w:caps w:val="false"/>
                <w:smallCaps w:val="false"/>
                <w:sz w:val="20"/>
                <w:shd w:fill="F8F9FA" w:val="clear"/>
              </w:rPr>
              <w:t xml:space="preserve">inconsistency between the provisions of the abovementioned documents regarding the scope of Works, in determining the priority order of documents it shall be applied the order under which the documents are stated in the previous paragraph.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OF THE CONTRACT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is obligated under the terms and in the scope determined under this Contract and according to the accepted Proposal KK 214-1/25 dated 16.07.2025. as the Appendix 1 to this Contract, Technical documentation and other appendixes to this Contract, for the Client’s needs, design and construct of the phase I of the Production facility which will be built on the cadastral parcel number 60/6 i 60/7, Cadastral municipality Brest by the “turnkey” system.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scope of the subject of this agreement, Contractor is obliged to perform the Works which include: preparation of Execution design (PZI), architectural and structural works, external areas and landscaping, hydrotechnical installations, electrical installations, telecommunications and signal installations, fire alarm system, HVAC installations, fire safety.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any doubt, purchase, installation and commissioning of the Production equipment and all related procedures are Client’s obligation.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area of all buildings here included is app. 2,922.21 m2.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423"/>
        <w:gridCol w:w="4782"/>
      </w:tblGrid>
      <w:tr>
        <w:trPr/>
        <w:tc>
          <w:tcPr>
            <w:tcW w:w="542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se obavezuje da &amp;cacute;e Radove iz &amp;ccaron;lana 3 ovog Ugovora izvesti stru&amp;ccaron;no i kvalitetno, sa kvalifikovanom radnom snagom, u skladu sa tehni&amp;ccaron;kim propisima, normativima i standardima koji va&amp;zcaron;e na teritoriji Republike Srbije.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&amp;cacute;e izvoditi Radove stru&amp;ccaron;no i kvalitetno uz upotrebu svog materijala koji &amp;cacute;e zadovoljavati zahtevane standarde, kvalitet i vrste odre&amp;dstrok;ene u projektima koje Izvo&amp;dstrok;a&amp;ccaron; priprema u skladu sa ovim Ugovorom.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Potpisom na ovom Ugovoru, Izvo&amp;dstrok;a&amp;ccaron; potvr&amp;dstrok;uje da raspola&amp;zcaron;e svim resursima neophodnim za izvo&amp;dstrok;enje Radova.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je du&amp;zcaron;an da potvrdi ta&amp;ccaron;nost svakog podatka, opisa i informacija, bez obzira da li su dostavljeni od strane Naru&amp;ccaron;ioca ili ne, tako što je u obavezi da proveri svaku stavku. Izvo&amp;dstrok;a&amp;ccaron; je du&amp;zcaron;an da obavesti Naru&amp;ccaron;ioca o svakom neslaganju, nejasno&amp;cacute;i ili propustu koji je otkriven u Tehni&amp;ccaron;koj dokumentaciji, odmah po njenom otkrivanju. Osim toga, du&amp;zcaron;an je da bez odlaganja obavesti Naru&amp;ccaron;ioca o svim poteško&amp;cacute;ama ili potencijalnim poteško&amp;cacute;ama koje se ti&amp;ccaron;u izvo&amp;dstrok;enja Radova. Podaci i informacije sadr&amp;zcaron;ane u Tehni&amp;ccaron;koj dokumentaciji su informacije koje su u ovom trenutku dostupne Naru&amp;ccaron;iocu.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snosi rizik tuma&amp;ccaron;enja podataka u vezi sa Gradilištem i rizik promenjenih fizi&amp;ccaron;kih uslova na Gradilištu, osim promena koje razumno nisu mogle biti predvi&amp;dstrok;ene ni od strane iskusnog izvo&amp;dstrok;a&amp;ccaron;a.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PROU&amp;Ccaron;AVANJE I PROMENA TEHNI&amp;Ccaron;KE </w:t>
              <w:br/>
              <w:t>DOKUMENTACIJE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6.</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se obavezuje da za potrebe Naru&amp;ccaron;ioca izvrši uslugu izrade Projekta za izvo&amp;dstrok;enje.</w:t>
            </w:r>
          </w:p>
        </w:tc>
        <w:tc>
          <w:tcPr>
            <w:tcW w:w="4782"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shall carry out Works referred to in the Article 3 professionally and in a quality manner, with qualified workforce, in accordance with technical regulations, norms and standards applicable on the territory of the Republic of Serbia.</w:t>
              <w:tab/>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shall perform the Works in a professional and proper manner, with its own material which will satisfy all required standards, quality and types set forth in designs prepared by the Contractor.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this Contract, the Contractor confirms that all the resources needed for the execution of Works stand at his disposal.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verify accuracy of any data, descriptions and information, no matter supplied by the Client or not, and the Contractor is obliged to check each and every item. The Contractor will bring to the attention of the Client any discrepancies, ambiguities or omissions discovered in the Technical Documentation immediately upon their discovery. Furthermore, it shall advise the Client forthwith of any identified difficulties or potential difficulties for execution of the Works. Data and information contained in the Technical Documentation are according to the best information currently available to the Client.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bears the risk of interpreting the Site data and the risk of changed physical conditions on the Site, except changes that could not reasonably have been foreseen by an experienced contractor.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CHANGES IN TECHNICAL DOCUMENTATION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needs of the Client, the Contractor is obliged to perform the service of designing of Execution Design.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326"/>
        <w:gridCol w:w="4879"/>
      </w:tblGrid>
      <w:tr>
        <w:trPr/>
        <w:tc>
          <w:tcPr>
            <w:tcW w:w="532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Projekat iz stava 1. ovog &amp;ccaron;lana mora da bude izra&amp;dstrok;en tako da se na osnovu njega mo&amp;zcaron;e dobiti Pozitivni zapisnik o tehni&amp;ccaron;kom pregledu, odnosno izvoditi Radovi, samostalno ili sa drugom dokumentacijom.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7.</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Naru&amp;ccaron;ilac je obavezan da preda Izvo&amp;dstrok;a&amp;ccaron;u Specifikacije gra&amp;dstrok;enja i tehni&amp;ccaron;ku dokumentaciju, crte&amp;zcaron;e i sve druge neophodne podatke vezane za tehnologiju proizvodnje, radi izrade Tehni&amp;ccaron;ke dokumentacije od strane Izvo&amp;dstrok;a&amp;ccaron;a.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je du&amp;zcaron;an da blagovremeno i detaljno prou&amp;ccaron;i Specifikacije gra&amp;dstrok;enja na osnovu kojih se izra&amp;dstrok;uje Tehni&amp;ccaron;ka dokumentacija saglasno ovom Ugovoru, kao i da od Naru&amp;ccaron;ioca blagovremeno, pisano, zatra&amp;zcaron;i objašnjenje u vezi sa nedovoljno jasnim detaljima.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Naru&amp;ccaron;ilac je du&amp;zcaron;an da postupi po zahtevima Izvo&amp;dstrok;a&amp;ccaron;a i da mu u primerenom roku, u pisanoj formi, pru&amp;zcaron;i tra&amp;zcaron;eno objašnjenje.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Naru&amp;ccaron;ilac ima pravo da menja funkcionalno tehnološke zahteve u okviru parametara Gra&amp;dstrok;evinske dozvole.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Ako se izmeni zahtev, u skladu sa stavom 1. ovog &amp;ccaron;lana, saglasno tome mo&amp;zcaron;e se promeniti i Ugovorena cena, rok za izradu Tehni&amp;ccaron;ke dokumentacije i izvo&amp;dstrok;enje Radova i drugi delovi ovog Ugovora na koje uti&amp;ccaron;u izmene projektnog zadatka.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se obavezuje da blagovremeno obavesti Naru&amp;ccaron;ioca u pisanoj formi o potencijalnim izmenama Ugovorene cene, odnosno, novim cenama, promenama rokova za pripremu Tehni&amp;ccaron;ke dokumentacije i izvo&amp;dstrok;enje Radova i drugih delova Ugovora na koje uti&amp;ccaron;u zahteva, svim potencijalnim troškovima, kao i da zatra&amp;zcaron;i odobrenje Naru&amp;ccaron;ioca za predmetne izmene. </w:t>
            </w:r>
          </w:p>
        </w:tc>
        <w:tc>
          <w:tcPr>
            <w:tcW w:w="4879"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from the paragraph 1 of this Article should be prepared in such a way that a Positive report of the technical inspection can be obtained i.e. Works can be performed, independently or with other documentation.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3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is obliged to submit to the Contractor Construction Specifications, technical documentation, drawings and all other necessary data related to production technology, for the preparation of the Technical documentation by the Contractor.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is obliged to study the Construction Specifications in a timely and detailed manner, on the basis of which the Technical documentation should be prepared in accordance with this agreement, as well as to ask the Client promptly, in writing, for clarification regarding insufficiently clear details.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is obliged to act on the Contractor’s requests and provide him with the requested explanation within a reasonable time, in writing.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may change the functional technological requirements within the parameters of the Construction Permit.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requirements is modified in accordance with paragraph 1 of this article, the Contract price, the deadline for the preparation of the Technical documentation and the execution of Works and other parts of this Contract that are affected by the changes of the design task might be changed accordingly.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undertakes to timely inform the Client in writing regarding the potential change of Contract price i.e. new contracted prices, change of the deadline for the preparation of the Technical documentation and the execution of Works and other parts of this Contract that are affected by the changes of the requirements, all potential costs and to ask for the Client’s approval of such changes.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476"/>
        <w:gridCol w:w="4729"/>
      </w:tblGrid>
      <w:tr>
        <w:trPr/>
        <w:tc>
          <w:tcPr>
            <w:tcW w:w="547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Troškovi koji nastanu u vezi sa promenom Tehni&amp;ccaron;ke dokumentacije i izvo&amp;dstrok;enjem Radova usled izmene zahteva iz stava 1 ovog &amp;ccaron;lana u padaju na teret Naru&amp;ccaron;ioca.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PREDSTAVNIK IZVO&amp;Dstrok;A&amp;Ccaron;A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svrhu izvršenja ovog Ugovora, Izvo&amp;dstrok;a&amp;ccaron; &amp;cacute;e imenovati Projektnog menad&amp;zcaron;era, Odgovornog izvo&amp;dstrok;a&amp;ccaron;a radova i Predstavnika izvo&amp;dstrok;a&amp;ccaron;a.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Predstavnik izvo&amp;dstrok;a&amp;ccaron;a je opunomo&amp;cacute;en i ima ovlaš&amp;cacute;enja da istupa u ime i za ra&amp;ccaron;un Izvo&amp;dstrok;a&amp;ccaron;a u svim stvarima koje se odnose na ovaj Ugovor.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se obavezuje da obezbedi prisustvo Odgovornog izvo&amp;dstrok;a&amp;ccaron;a radova na Gradilištu, u toku Radova na dnevnom nivou.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Projektni menad&amp;zcaron;er je ovlaš&amp;cacute;en i obavezan da bude prisutan na Gradilištu svake nedelje (sedmice).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Odgovorni izvo&amp;dstrok;a&amp;ccaron; radova &amp;cacute;e voditi ra&amp;ccaron;una da gra&amp;dstrok;evinska dokumentacija bude a&amp;zcaron;urirana i na raspolaganju Naru&amp;ccaron;iocu i Stru&amp;ccaron;nom nadzoru sve vreme, te da prima njihova obaveštenja i primedbe.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radova je du&amp;zcaron;an da obezbedi mogu&amp;cacute;nost kontaktiranja Projektnog menad&amp;zcaron;era i/ili Predstavnika izvo&amp;dstrok;a&amp;ccaron;a u bilo kom momentu, uklju&amp;ccaron;uju&amp;cacute;i i vreme izvan radnog vremena, vikende i dr&amp;zcaron;avne praznike u slu&amp;ccaron;aju hitnih poslova ili situacija.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 uputstva data Predstavniku izvo&amp;dstrok;a&amp;ccaron;a od strane Predstavnika naru&amp;ccaron;ioca smatra&amp;cacute;e se datim Izvo&amp;dstrok;a&amp;ccaron;u radova.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UGOVORENA CENA I PLA&amp;Cacute;ANJE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10.</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Predra&amp;ccaron;unska ugovorna cena iz Ponude koja je sastavni deo ovog Ugovora, kao Prilog br.1 iznosi 2,175,452.78 € (slovima: dva miliona stotinu sedamdesetpet hiljada &amp;ccaron;etiri stotine pedesetdva i 78/100 evra) bez PDV-a.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Cena je definisana po sistemu „klju&amp;ccaron; u ruke”.</w:t>
            </w:r>
          </w:p>
        </w:tc>
        <w:tc>
          <w:tcPr>
            <w:tcW w:w="4729"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relation to the changes of the Technical documentation and execution of Works due to the modification of the requirements in accordance with paragraph 1 of this article shall be borne by the Client.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CONTRACTOR’S REPRESENTATIVE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executing this Contract the Contractor shall appoint the Project manager, Site manager and the Representative of the Contractor.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 of the Contractor shall be fully authorized and empowered to act for and on behalf of the Contractor in all matters pertaining to this Contract.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undertakes to ensure the attendance of the Site manager during the Works on Site on daily basis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manager shall be authorized and obliged to be present on the Site every week.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Site manager shall take care that site documentation is kept up-to-date and at disposal of the Client and Supervising engineer at all times, and to receive their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ensure that it is possible to contact the Project manager and/or Representative of the Contractor at any time, including outside working hours, on weekends and during public holidays in the case of urgent matters or emergencies.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given to the Representative of the Contractor by the Clients Representative shall be deemed given to the Contractor.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PRICE AND PAYMENT TERMS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w:t>
            </w:r>
          </w:p>
          <w:p>
            <w:pPr>
              <w:pStyle w:val="TableContents"/>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contract price from the Proposal which is an integral part of this Agreement, as Appendix 1 amounts 2,175,452.78 € (in letters: two million one hundred seventy-five thousand four hundred fifty-two and 78/100 euros) excluding VAT.</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is defined by the turnkey system.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108"/>
        <w:gridCol w:w="5097"/>
      </w:tblGrid>
      <w:tr>
        <w:trPr/>
        <w:tc>
          <w:tcPr>
            <w:tcW w:w="510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Predra&amp;ccaron;unska ugovorena cena iz stava 1 ovog &amp;ccaron;lana predstavlja paušalni iznos procenjen za završetak Radova na na&amp;ccaron;in i u obimu koji su predvi&amp;dstrok;eni ovim Ugovorom.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Ugovorena cena predstavlja paušalni iznos procenjen za završetak Radova, u skladu sa Dinami&amp;ccaron;kim planom koji je prilog 3 ovog ugovora, i uklju&amp;ccaron;uje protivvrednost svih troškova potrebnih za kompletno izvršenje radova. Sve zakupnine, naknade, troškove, poreze, zadr&amp;zcaron;avanja, namete ili druge da&amp;zcaron;bine bilo koje prirode koje se moraju platiti u vezi sa Opremom, Uslugama i Radovima i drugim isporukama po ovom Ugovoru unutar i van Zemlje snosi&amp;cacute;e Izvo&amp;dstrok;a&amp;ccaron; radova, a smatra&amp;cacute;e se da Ugovorna cena uklju&amp;ccaron;uje sve gore navedeno.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Cena Radova se mo&amp;zcaron;e uskla&amp;dstrok;ivati sa aktuelnim cenama elemenata ponu&amp;dstrok;enih pozicija na osnovu kojih je ista formirana.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 obra&amp;ccaron;unavaju se viškovi i manjkovi Radova, osim ukoliko se uvodi nova pozicija Radova koja nije definisana Ponudom koja predstavlja Prilog 1, za koje &amp;cacute;e cene i rok formirati zajedni&amp;ccaron;ki Naru&amp;ccaron;ilac i Izvo&amp;dstrok;a&amp;ccaron;.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cenu za izvo&amp;dstrok;enje gra&amp;dstrok;evinskih radova se prema Merodavnom pravu ne obra&amp;ccaron;unava PDV.</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Pla&amp;cacute;anje je po srednjem kursu NBS na dan pla&amp;cacute;anja.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11.</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Naru&amp;ccaron;ilac &amp;cacute;e pla&amp;cacute;ati Ugovorenu cenu na slede&amp;cacute;i na&amp;cacute;in: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Avans 10% od Ugovorene cene u iznosu od 217,545,27 EUR (bez PDV) u roku od 10 (deset) dana od kumulativnog ispunjenja slede&amp;cacute;ih uslova: potpisivanje ovog Ugovora, ispostavljanje avansnog predra&amp;ccaron;una, dostavljanje od strane Izvo&amp;dstrok;a&amp;ccaron;a sredstava obezbe&amp;dstrok;enja iz &amp;ccaron;lana 24 i 25 ovog Ugovora.</w:t>
            </w:r>
          </w:p>
        </w:tc>
        <w:tc>
          <w:tcPr>
            <w:tcW w:w="5097"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contract price referred to in the paragraph 1 of this Article is a lump sum amount that had been forecasted for the completion of Works in the manner and to the extent provided in this Contract.</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price is a lump sum amount that had been forecasted for the completion of Works in accordance with the Time schedule that is an integral part of this agreement as the appendix 3 and includes the counter value of all charges needed for the full execution of the works. Any rentals, fees, charges, taxes, withholdings, levies, imposts or other duties of whatever nature required to be paid in connection with the Equipment, Services and Works and other deliverables under this Contract inside and outside the Country shall be borne by the Contractor and the Contract Price shall be deemed to include any of the foregoing.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Works price can be adjusted to the current prices of the elements of the offered positions on the basis of which it was formed.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surpluses and shortages of Works are calculated unless a new position of Works that is not defined by the Proposal representing the Appendix 1 is introduced, for which prices and deadlines will be formed jointly by the Client and Contractor.</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for construction works is not subject to VAT according to Applicable laws.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is by the middle exchange rate of the NBS on the day of payment.</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price will be paid by the Client in the following manner:</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advance of 10% of the Contract price in the amount of 217,545,27 EUR (excluding VAT) within 10 (ten) days from the cumulative fulfillment of the following conditions: signing of this Contract, issuing of the pre-invoice for the advance, delivering by the Contractor the securities referred to in Articles 24 and 25 of this Contract.</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245"/>
        <w:gridCol w:w="4960"/>
      </w:tblGrid>
      <w:tr>
        <w:trPr/>
        <w:tc>
          <w:tcPr>
            <w:tcW w:w="5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Avans &amp;cacute;e se proporcionalno dobijenom procentu avansa od 10% odbijati od mese&amp;ccaron;nih situacija.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Preostali deo Ugovorene cene, bi&amp;cacute;e pla&amp;cacute;en putem privremenih mese&amp;ccaron;nih situacija, koje &amp;cacute;e Izvo&amp;dstrok;a&amp;ccaron; dostavljati na 30 dana, odnosno svakog 1–og u mesecu za prethodni mesec, sa prilo&amp;zcaron;enom obra&amp;ccaron;unskom tabelom procenata realizacije po grupama radova.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Pregledom mese&amp;ccaron;ne situacije u roku od 7 Radnih dana od prijema, Naru&amp;ccaron;ilac i Stru&amp;ccaron;ni nadzor &amp;cacute;e potvrditi primljenu mese&amp;ccaron;nu situaciju, u celosti ili delimi&amp;ccaron;no, odnosno, ukoliko konstatuje nepravilnosti ili neuskla&amp;dstrok;enosti sa izvedenim stanjem, vratiti mese&amp;ccaron;nu situaciju Izvo&amp;dstrok;a&amp;ccaron;u na potrebne korekcije ili izmene. Po prijemu korigovane odnosno izmenjene mese&amp;ccaron;ne situacije, Naru&amp;ccaron;ilac je du&amp;zcaron;an da prekontroliše mese&amp;ccaron;nu situaciju u naredna 3 Radna dana.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Rok za pla&amp;cacute;anja nespornog dela mese&amp;ccaron;ne situacije je do 20. u mesecu za prethodni mesec.</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Obra&amp;ccaron;un &amp;cacute;e se vršiti prema procentu realizacije iskazanom i overenom kroz obra&amp;ccaron;unsku tabelu po grupama radova koja je prilog 9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Pla&amp;cacute;anje &amp;cacute;e se vršiti prema fakturama, izdatim od strane Izvo&amp;dstrok;a&amp;ccaron;a na srpskom i engleskom jeziku.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neblagovremeno pla&amp;cacute;ene iznose po ispostavljenim situacijama, Naru&amp;ccaron;ilac je du&amp;zcaron;an da Izvo&amp;dstrok;a&amp;ccaron;u isplati iznos iz situacije uve&amp;cacute;an za zakonsku zateznu kamatu.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12.</w:t>
            </w:r>
          </w:p>
          <w:p>
            <w:pPr>
              <w:pStyle w:val="TableContents"/>
              <w:bidi w:val="0"/>
              <w:spacing w:before="0" w:after="0"/>
              <w:ind w:left="36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Me&amp;dstrok;usobna potra&amp;zcaron;ivanja Ugovorne strane &amp;cacute;e regulisati Okon&amp;ccaron;anom situacijom, kojoj Ugovorne strane pristupaju kod završetka Radova, nakon usaglašenog i potpisanog Zapisnika o primopredaji, na na&amp;ccaron;in da &amp;cacute;e Izvo&amp;dstrok;a&amp;ccaron; predati Naru&amp;ccaron;iocu primerak Okon&amp;ccaron;ane situacije i sve druge neophodne gradilišne i prate&amp;cacute;e dokumentacije.</w:t>
            </w:r>
          </w:p>
        </w:tc>
        <w:tc>
          <w:tcPr>
            <w:tcW w:w="4960" w:type="dxa"/>
            <w:tcBorders>
              <w:top w:val="single" w:sz="12" w:space="0" w:color="000000"/>
              <w:bottom w:val="single" w:sz="12" w:space="0" w:color="000000"/>
              <w:right w:val="single" w:sz="12" w:space="0" w:color="000000"/>
            </w:tcBorders>
            <w:tcMar>
              <w:left w:w="0" w:type="dxa"/>
            </w:tcMar>
            <w:vAlign w:val="center"/>
          </w:tcPr>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will be deducted from the monthly invoices in proportion to the percentage of the advance payment of 10%.</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part of the contractual price will be paid through monthly payment certificates, which will be delivered by the Contractor every 30 days i.e. every 1st of the month for the previous month, with enclosed calculation table with percentage of realization by group of the works.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checking the monthly payment certificate within 7 Business days from the receipt, the Client and the Site Supervision shall confirm the received monthly payment certificate, fully or partially, i.e. if it establishes any irregularities or inconsistencies with as built status, it shall return the monthly payment certificate to the Contractor for the necessary corrections or amendments. Upon the receipt of the corrected monthly payment certificate, the Client shall be obliged to control the monthly payment certificate in the next 3 Business days.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deadline for the payment of the undisputed part of the monthly payment certificate is by the 20th of the month for the previous month.</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will be carried out according to the percentage of realization shown and verified through the calculation table by group of the works as it appendix No. 9.</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will be made according to invoices issued by the Contractor in Serbian and English language.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untimely payment of amounts in the provide invoices, the Client is obliged to pay to the Contractor the amount from the invoice plus the statutory default interest.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w:t>
            </w:r>
          </w:p>
          <w:p>
            <w:pPr>
              <w:pStyle w:val="TableContents"/>
              <w:bidi w:val="0"/>
              <w:spacing w:before="0" w:after="0"/>
              <w:ind w:left="36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mutual claims shall be regulated between the Parties in the Final Payment Certificate, to which the Parties shall approach at the completion of the Works, after the agreed and signed Handover protocol, in such a way that the Contractor shall deliver to the Client a copy of the Final Payment Certificate and all other necessary construction and supporting documents.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jc w:val="right"/>
        <w:rPr/>
      </w:pPr>
      <w:r>
        <w:rPr/>
        <w:t> </w:t>
      </w:r>
    </w:p>
    <w:tbl>
      <w:tblPr>
        <w:tblW w:w="10205" w:type="dxa"/>
        <w:jc w:val="left"/>
        <w:tblInd w:w="-15" w:type="dxa"/>
        <w:tblLayout w:type="fixed"/>
        <w:tblCellMar>
          <w:top w:w="28" w:type="dxa"/>
          <w:left w:w="100" w:type="dxa"/>
          <w:bottom w:w="28" w:type="dxa"/>
          <w:right w:w="100" w:type="dxa"/>
        </w:tblCellMar>
      </w:tblPr>
      <w:tblGrid>
        <w:gridCol w:w="4057"/>
        <w:gridCol w:w="6148"/>
      </w:tblGrid>
      <w:tr>
        <w:trPr/>
        <w:tc>
          <w:tcPr>
            <w:tcW w:w="405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Rok za pregled Okon&amp;ccaron;ane situacije je 7 Radnih dana. U pogledu odobravanja Okon&amp;ccaron;ane situacije shodno se primenjuju odredbe Ugovora koje regulišu odobravanje Mese&amp;ccaron;ne situacije. Okon&amp;ccaron;ana situacija se ispla&amp;cacute;uje u roku od 15 dana od dana potpisivanja Okon&amp;ccaron;ane situacije.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Ukoliko Naru&amp;ccaron;ilac ili Stru&amp;ccaron;ni nadzor ne potpišu ili ne stave primedbe na Mese&amp;ccaron;nu situaciju ili Okon&amp;ccaron;anu situaciju u roku od 7 (sedam) Radnih dana od prijema iste, smatra&amp;cacute;e se da se sa situacijom saglasio i da su iste ispravne i dospele za pla&amp;cacute;anje je situacija ispravna i dospela za pla&amp;cacute;anje.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OBAVEZE NARU&amp;Ccaron;IOCA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13.</w:t>
            </w:r>
          </w:p>
          <w:p>
            <w:pPr>
              <w:pStyle w:val="TableContents"/>
              <w:bidi w:val="0"/>
              <w:spacing w:before="0" w:after="0"/>
              <w:ind w:left="36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Naru&amp;ccaron;ilac je du&amp;zcaron;an omogu&amp;cacute;iti Izvo&amp;dstrok;a&amp;ccaron;u neometano izvo&amp;dstrok;enje Radova na na&amp;ccaron;in, da Izvo&amp;dstrok;a&amp;ccaron;a uvede u Radove i da mu obezbedi: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    Nesmetane uslove za terenski rad tj. slobodan pristup za rad radnicima i mehanizaciji na delu gradilišta gde se radovi neposredno izvode;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   Izvo&amp;dstrok;enje nadzora nad Radovima kao i koordinaciju u pogledu bezbednosti i zdravlja na radu od strane lica koja ispunjavaju uslove propisane Merodavnim pravom;</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   Pribavljanje ovlaš&amp;cacute;enja Izvo&amp;dstrok;a&amp;ccaron;u za podnošenje zahteva za izdavanje Upotrebne dozvole i drugih neophodnih saglasnosti i dozvola dr&amp;zcaron;avnih Organa,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   Blagovremenu nadoknadu troškova takse za priklju&amp;ccaron;enje struje, vode, kanalizacije, telefonskog i internet priklju&amp;ccaron;ka, gasa, doprinosa za ure&amp;dstrok;ivanje gra&amp;dstrok;evinskog zemljišta, troškova tehni&amp;ccaron;ke kontrole projekta, nadzora nad izvo&amp;dstrok;enjem radova i drugih troškova koji su zakonska obaveza investitora u skladu sa Merodavnim pravom.</w:t>
            </w:r>
          </w:p>
          <w:p>
            <w:pPr>
              <w:pStyle w:val="TableContents"/>
              <w:bidi w:val="0"/>
              <w:spacing w:before="0" w:after="0"/>
              <w:ind w:left="0" w:right="0" w:hanging="0"/>
              <w:jc w:val="left"/>
              <w:rPr>
                <w:caps w:val="false"/>
                <w:smallCaps w:val="false"/>
              </w:rPr>
            </w:pPr>
            <w:r>
              <w:rPr>
                <w:caps w:val="false"/>
                <w:smallCaps w:val="false"/>
              </w:rPr>
              <w:t> </w:t>
            </w:r>
          </w:p>
        </w:tc>
        <w:tc>
          <w:tcPr>
            <w:tcW w:w="6148"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deadline for reviewing the Final payment certificate is 7 Business days. In respect of approving of the Final payment certificate, the provisions of this Contract governing the approval of Monthly payment certificate shall be applied. The Final payment certificate will be paid within 15 days from the date of signing the Final payment certificate.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Client and the Site Supervision fail to sign or fail to make any objections to the Monthly payment certificate or the Final payment certificate within 7 (seven) days from the receipt of the same, it shall be considered that the Client has accepted the payment certificate and that the certificate is correct and due for payment.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CLIENT’S OBLIGATIONS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13.</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shall be obliged to enable the Contractor to perform the Works undisturbed in a way, to introduce the Contractor into the Works and to provide him with:</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Undisturbed conditions for the site work i.e. i.e. free access to the work of workers and machinery on the part of the Site where the works are directly performed;</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Ensure supervision of the Works and coordination for the health and safety by a person who meets the requirements prescribed by the Applicable 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Obtaining the authorization to the Contractor for the application for the issuance of Usage permit and other necessary approvals and permits of state Authorities,</w:t>
            </w:r>
          </w:p>
          <w:p>
            <w:pPr>
              <w:pStyle w:val="TableContents"/>
              <w:bidi w:val="0"/>
              <w:spacing w:before="0" w:after="0"/>
              <w:ind w:left="720" w:right="0" w:firstLine="3600"/>
              <w:jc w:val="both"/>
              <w:rPr>
                <w:caps w:val="false"/>
                <w:smallCaps w:val="false"/>
              </w:rPr>
            </w:pPr>
            <w:r>
              <w:rPr>
                <w:caps w:val="false"/>
                <w:smallCaps w:val="false"/>
              </w:rPr>
              <w:t> </w:t>
            </w:r>
          </w:p>
          <w:p>
            <w:pPr>
              <w:pStyle w:val="TableContents"/>
              <w:bidi w:val="0"/>
              <w:spacing w:before="0" w:after="10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Timely reimbursement of the costs of connection of electricity, water, sewage, telephone and internet connection, gas, contributions for the development of construction land, costs of technical control of the design, supervision of works and other costs that are the legal obligation of the investor according to the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026"/>
        <w:gridCol w:w="5179"/>
      </w:tblGrid>
      <w:tr>
        <w:trPr/>
        <w:tc>
          <w:tcPr>
            <w:tcW w:w="502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OBAVEZE IZVO&amp;Dstrok;A&amp;Ccaron;A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14.1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Vezano za izvo&amp;dstrok;enje radova po ovom ugovoru, Izvo&amp;dstrok;a&amp;ccaron; se obavezuje da: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preuzme od Naru&amp;ccaron;ioca u posed zemljište i izvrši geodetsko snimanje zemljišta na kom &amp;cacute;e se izvoditi radovi predvi&amp;dstrok;eni ovim Ugovorom, kao i odvo&amp;zcaron;enje suvišnog materijala i ostataka na propisane deponije u skladu sa odredbama Zakona o upravljanju otpadom;</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obezbedi privremeni gradilišni priklju&amp;ccaron;ak za struju i vodu i snosi sve re&amp;zcaron;ijske troškove od trenutka uvo&amp;dstrok;enja u posao, tokom izgradnje pa do primopredaje radova;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poseduje sve odgovaraju&amp;cacute;e licence neophodne za projektovanje i izvo&amp;dstrok;enje Radova;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izvede sve Radove u skladu sa propisima, standardima, tehni&amp;ccaron;kim normativima i normama kvaliteta koji va&amp;zcaron;e za pojedine vrste radova, instalacija i opreme u Zemlji;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da organizuje Gradilište na na&amp;ccaron;in kojim &amp;cacute;e se obezbediti pristup lokaciji, obezbe&amp;dstrok;enje nesmetanog saobra&amp;cacute;aja, zaštitu okoline za sve vreme trajanja gra&amp;dstrok;enja;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b/>
              <w:t>    da o svom trošku obezbe&amp;dstrok;uje dokaze o kvalitetu izvršenih Radova, odnosno ugra&amp;dstrok;enog materijala;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da vodi Gra&amp;dstrok;evinski dnevnik te drugu gra&amp;dstrok;evinsku dokumentaciju koja se odnosi na Radove;</w:t>
            </w:r>
          </w:p>
        </w:tc>
        <w:tc>
          <w:tcPr>
            <w:tcW w:w="5179"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CONTRACTOR’S OBLIGATIONS</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14.1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execution of the works under this Contract, the Contractor undertakes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Take possession from the Client of the site and survey the land where the works provided under this Contract shall be carried out as well as remove needless materials and waste to the prescribed garbage dumps in accordance with provisions of the Waste Management Law;</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Provide a temporary construction connection for electricity and water and bear all consumption costs from the moment of introduction into the site, during construction until the handover of works;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Ensure possession of all necessary licenses required for designing and performing of the Works;</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Carry out all the Works in accordance with the relevant regulations, standards, technical standards and standards of the quality applicable to certain type of works, installations and equipment in the Country;</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Organize the Site to provide access to the location, ensure undisturbed traffic and protect the neighbourhood during the entire duration of construction;</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Provide certificates of quality of the executed Works, i.e. installed materials at his own cost;</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10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Keep the Construction book as well as other documents related to the Works;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534"/>
        <w:gridCol w:w="4671"/>
      </w:tblGrid>
      <w:tr>
        <w:trPr/>
        <w:tc>
          <w:tcPr>
            <w:tcW w:w="553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    da do ugovorenog datuma organizuje rad na Gradilištu i da iste završi u ugovorenom roku i kvalitetu;</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 xml:space="preserve">    da po završetku Radova na Gradilištu i njegove predaje Naru&amp;ccaron;iocu ukloni svoje stvari i o&amp;ccaron;isti gradilište. U slu&amp;ccaron;aju da Izvo&amp;dstrok;a&amp;ccaron; propusti da izvrši ovu obavezu, Naru&amp;ccaron;ilac mo&amp;zcaron;e izvršiti &amp;ccaron;iš&amp;cacute;enje o svom trošku, a na teret Izvo&amp;dstrok;a&amp;ccaron;a. Naru&amp;ccaron;ilac &amp;cacute;e imati pravo da umanji iznos Ugovorene cene za iznos troškova koji nastanu ovim povodom.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    da redovno konsultuje Naru&amp;ccaron;ioca vezano za konkretne probleme izvršenja Radova i koordinira rešavanje istih;</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ab/>
              <w:t>   obezbe&amp;dstrok;uje sigurnost objekta, lica koja je anga&amp;zcaron;ovao, a koja se nalaze na gradilištu;</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 xml:space="preserve">    izvodi Radove uva&amp;zcaron;avaju&amp;cacute;i bezbednosne mere na gradilištu u skladu sa propisima o bezbednosti pri radu i protivpo&amp;zcaron;arnoj bezbednosti, </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    obezbedi svu potrebnu mehanizaciju, ljudstvo i opremu za kvalitetno i potpuno izvršavanje obaveza preuzetih ovim Ugovorom;</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 xml:space="preserve">    na Gradilištu raspola&amp;zcaron;e ovim Ugovorom, rešenjem o odre&amp;dstrok;ivanju odgovornih izvo&amp;dstrok;a&amp;ccaron;a radova, Projektom za gra&amp;dstrok;evinsku dozvolu i projektom za izvo&amp;dstrok;enje; </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    nabavi i dopremi sav materijal i opremu neophodne za postizanje cilja Ugovora;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    uka&amp;zcaron;e Naru&amp;ccaron;iocu i Nadle&amp;zcaron;nom organu na sve eventualne nedostatke u tehni&amp;ccaron;koj dokumentaciji i zatra&amp;zcaron;i odobrenje za svako odstupanje od odobrenih planova;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b/>
              <w:t xml:space="preserve">    pribavi potrebne saglasnosti i dozvole za gradnju. Napred navedene saglasnosti i dozvole Izvo&amp;dstrok;a&amp;ccaron; &amp;cacute;e pribaviti na osnovu posebnih pisanih ovlaš&amp;cacute;enja izdatih od Naru&amp;ccaron;ioca i bez odgovornosti Izvo&amp;dstrok;a&amp;ccaron;a za rokove pribavljanja navedenih saglasnosti i dozvola. </w:t>
            </w:r>
          </w:p>
        </w:tc>
        <w:tc>
          <w:tcPr>
            <w:tcW w:w="467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Organize the works on the Site by the agreed date and to complete the same as per the agreed time and quality;</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14" w:right="0" w:hanging="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Remove its equipment and clean the Site after completion of Works on the site and its handover to the Client. In the event that the Contractor fails to meet his obligation, the Client will perform the cleaning of the Site by his own, on the Contractor expense. Client has the right to deduct from the Contract price all the expenses incurred in this regard;</w:t>
            </w:r>
          </w:p>
          <w:p>
            <w:pPr>
              <w:pStyle w:val="TableContents"/>
              <w:bidi w:val="0"/>
              <w:spacing w:before="0" w:after="0"/>
              <w:ind w:left="714" w:right="0" w:hanging="0"/>
              <w:jc w:val="both"/>
              <w:rPr>
                <w:caps w:val="false"/>
                <w:smallCaps w:val="false"/>
              </w:rPr>
            </w:pPr>
            <w:r>
              <w:rPr>
                <w:caps w:val="false"/>
                <w:smallCaps w:val="false"/>
              </w:rPr>
              <w:t> </w:t>
            </w:r>
          </w:p>
          <w:p>
            <w:pPr>
              <w:pStyle w:val="TableContents"/>
              <w:bidi w:val="0"/>
              <w:spacing w:before="0" w:after="0"/>
              <w:ind w:left="714" w:right="0" w:hanging="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Consult the Client regularly with regards to specific problems in performing Works and coordinate the resolving of the same;</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Ensure safety of the structures, engaged persons on the site;</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Execute the Works with respect to the safety measures on building site in accordance with regulations related to safety at work and fire safety</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Provide all the required machines, labour and equipment for quality and complete execution of obligations defined by this Contract;</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Be in possession, on the Site, of this Contract, Decision of appointing of the responsible site manager, Design for construction permit and execution design;</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Supply and deliver all the necessary materials and equipment for achieving the purpose of the Contract;</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Indicate, to Client and Authorized authority, any possible defects in technical documents and request approval for any deviation from the confirmed plans;</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10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obtain the necessary approvals and permits for construction. The aforementioned approvals and licenses shall be obtained by the Contractor on the basis of special written authorizations issued by the Client and without the Contractor’s responsibility for the deadlines for obtaining the aforementioned approvals and permits.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716"/>
        <w:gridCol w:w="4489"/>
      </w:tblGrid>
      <w:tr>
        <w:trPr/>
        <w:tc>
          <w:tcPr>
            <w:tcW w:w="57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14.2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&amp;cacute;e preduzeti sve neophodne korake kako bi obezbedio bezbednost Gradilišta i bezbednost lica na Gradilištu koja je anga&amp;zcaron;ovao i odr&amp;zcaron;avati Gradilište i Radove u propisanom stanju odgovaraju&amp;cacute;em za izbegavanje opasnosti i spre&amp;ccaron;avanja bilo kakvih uznemiravanja u skladu sa Merodavnim pravom. Izvo&amp;dstrok;a&amp;ccaron; &amp;cacute;e odrediti lice nadle&amp;zcaron;no za bezbednost Gradilišta i zaštitu svog celokupnog osoblja od nezgoda. Ovo lice mora biti kvalifikovano za ovaj posao i mora imati ovlaš&amp;cacute;enje da izdaje instrukcije i preduzima&amp;cacute;e zaštitne mere u cilju spre&amp;ccaron;avanja nezgoda.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je du&amp;zcaron;an da poštuje sva uputstva u vezi sa bezbednoš&amp;cacute;u, potrebna za izvršenje Radova na Gradilištu, uklju&amp;ccaron;uju&amp;cacute;i upotrebu odgovaraju&amp;cacute;e bezbednosne opreme, u skladu sa propisima nadle&amp;zcaron;nih organa i zahtevima koje postavlja Merodavno pravo.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&amp;cacute;e tako&amp;dstrok;e obezbediti dostupnost protivpo&amp;zcaron;arne opreme na Gradilištu, u skladu sa svim zakonskim uslovima. Izvo&amp;dstrok;a&amp;ccaron; radova &amp;cacute;e preduzeti sve potrebne mere predostro&amp;zcaron;nosti u cilju spre&amp;ccaron;avanja izbijanja po&amp;zcaron;ara na Gradilištu i postarati se da su zapaljivi materijali ili boce sa gasovima koje su donete na Gradilište bezbedno uskladišteni, prevo&amp;zcaron;eni i koriš&amp;cacute;eni, dr&amp;zcaron;a&amp;cacute;e odgovaraju&amp;cacute;e prenosive aparate za gašenje po&amp;zcaron;ara lako dostupnim i pri ruci tamo gde se boce sa gasovima koriste ili potrebe rada zahtevaju upotrebu otvorene vatre.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preuzima punu odgovornost za podobnost, stabilnost i sigurnost svih aktivnosti izvedenih na Gradilištu, svih gra&amp;dstrok;evinskih metoda i svih Radova. Izvo&amp;dstrok;a&amp;ccaron; &amp;cacute;e tako&amp;dstrok;e biti odgovoran za štetu koju pretrpe bilo koja lica i imovina koja se nalaze na nepokretnostima pored Gradilišta u vezi sa izvo&amp;dstrok;enjem Radova, u istoj meri kao da je šteta nastala na Gradilištu, pod uslovom da je šteta povezana sa Radovima.</w:t>
            </w:r>
          </w:p>
        </w:tc>
        <w:tc>
          <w:tcPr>
            <w:tcW w:w="4489"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14.2</w:t>
            </w:r>
          </w:p>
          <w:p>
            <w:pPr>
              <w:pStyle w:val="TableContents"/>
              <w:bidi w:val="0"/>
              <w:spacing w:before="0" w:after="0"/>
              <w:ind w:left="36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take all necessary steps to ensure the safety of the Site and keep the Site and the Works in an orderly state appropriate for the avoidance of danger and to prevent any nuisance in accordance with the Applicable laws. The Contractor shall designate a person who is in charge of ensuring the safety of the Site and protection against accidents of all of his staff. This person shall be qualified for this work and shall have the authority to issue instructions and shall take protective measures to prevent accidents.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comply with all safety instructions required for the execution of Works on the Site, including use of appropriate safety equipment pursuant to regulations of the competent Authorities and in accordance with the Applicable 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also ensure the availability of fire-fighting equipment on the Site meeting legal requirements. The Contractor shall take all necessary safety precautions to prevent the outbreak of fire at the Site and ensure that inflammable materials of cylinder gases which are brought on the Site are safely stored, transported and used and keep suitable portable fire extinguishers readily available and close at hand where cylinder gas is being used or work necessitates the use of naked flames.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assume full liability for the suitability, stability and safety of all actions carried out on the Site, all construction methods and all Works. The Contractor shall be also liable for any damages sustained by any persons and property located on real properties adjacent to the Site in connection with the execution of Works, to the same extent as if the damages were sustained on the Site if they are connected with the Works.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057"/>
        <w:gridCol w:w="5148"/>
      </w:tblGrid>
      <w:tr>
        <w:trPr/>
        <w:tc>
          <w:tcPr>
            <w:tcW w:w="505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15.</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Stru&amp;ccaron;ni nadzor nad izvo&amp;dstrok;enjem radova iz predmeta ovog Ugovora ispred Naru&amp;ccaron;ioca vrši&amp;cacute;e lice koje pismeno imenuje Naru&amp;ccaron;ilac, a koje ispunjava uslove propisane Zakonom o planiranju i izgradnji objekata – In&amp;zcaron;enjer za nadzor.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je du&amp;zcaron;an da omogu&amp;cacute;i sprovo&amp;dstrok;enje ovog nadzora, kao i da nalaze kontrole In&amp;zcaron;enjera za nadzor upisuje u gra&amp;dstrok;evinski dnevnik. Stru&amp;ccaron;ni nadzor je du&amp;zcaron;an da svakodnevno vrši pregled Radova i potpisuje Gra&amp;dstrok;evinski dnevnik.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ANGA&amp;Zcaron;OVANJE PODIZVO&amp;Dstrok;A&amp;Ccaron;A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Ugovorne strane su saglasne da Izvo&amp;dstrok;a&amp;ccaron; ima pravo da anga&amp;zcaron;uje podizvo&amp;dstrok;a&amp;ccaron;e za izvo&amp;dstrok;enje pojedinih radova sa Spiska potencijalnih Podizvo&amp;dstrok;a&amp;ccaron;a koji je prilog 10 ovog ugovora, bez saglasnosti Naru&amp;ccaron;ioca.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Ugovorni odnos izme&amp;dstrok;u Izvo&amp;dstrok;a&amp;ccaron;a i podizvo&amp;dstrok;a&amp;ccaron;a nemaju nikakav uticaj na odnose ugovornih strana iz ovog Ugovora i Izvo&amp;dstrok;a&amp;ccaron; u celosti ostaje Naru&amp;ccaron;iocu odgovoran za sve obaveze preuzete ovim Ugovorom.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Delegiranje bilo kojeg dela Radova podizvo&amp;dstrok;a&amp;ccaron;u od strane Izvo&amp;dstrok;a&amp;ccaron;a ne podrazumeva bilo kakvo dodatno pla&amp;cacute;anje od strane Naru&amp;ccaron;ioca niti osloba&amp;dstrok;a Izvo&amp;dstrok;a&amp;ccaron;a bilo koje od njegovih odgovornosti, du&amp;zcaron;nosti i obaveza u skladu sa ovim Ugovorom i Izvo&amp;dstrok;a&amp;ccaron; ostaje odgovoran za radnje, greške, propuštanja, propust ili nemar podizvo&amp;dstrok;a&amp;ccaron;a, za koje &amp;cacute;e se smatrati u svaku svrhu iz ovog Ugovora da su radnje, greške, propuštanja, propusti i nemar Izvo&amp;dstrok;a&amp;ccaron;a.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Ništa sadr&amp;zcaron;ano u ovom &amp;ccaron;lanu ne&amp;cacute;e se smatrati da stvara bilo kakav ugovorni odnos izme&amp;dstrok;u Naru&amp;ccaron;ioca i podizvo&amp;dstrok;a&amp;ccaron;a. Izvo&amp;dstrok;a&amp;ccaron; snosi odgovornost za koordinaciju izvedenih radova od strane svih njegovih podizvo&amp;dstrok;a&amp;ccaron;a i Ugovorena cena uklju&amp;ccaron;uje sve troškove tih aktivnosti.</w:t>
            </w:r>
          </w:p>
          <w:p>
            <w:pPr>
              <w:pStyle w:val="TableContents"/>
              <w:bidi w:val="0"/>
              <w:spacing w:before="0" w:after="0"/>
              <w:ind w:left="0" w:right="0" w:hanging="0"/>
              <w:jc w:val="left"/>
              <w:rPr>
                <w:caps w:val="false"/>
                <w:smallCaps w:val="false"/>
              </w:rPr>
            </w:pPr>
            <w:r>
              <w:rPr>
                <w:caps w:val="false"/>
                <w:smallCaps w:val="false"/>
              </w:rPr>
              <w:t> </w:t>
            </w:r>
          </w:p>
        </w:tc>
        <w:tc>
          <w:tcPr>
            <w:tcW w:w="5148"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15.</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Site supervision of the execution of works from the subject of this Contract in front of the Client shall be performed by a person who is appointed by the Client in writing, and which meets the requirements prescribed by the Law on Planning and Construction – Supervising engineer.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is obliged to enable the performance of this supervision, as well as to inscribe the results of control performed by the Site supervision into a Construction book. Site supervision is obliged to carry out control of the Works on a daily basis and sign a Construction book.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SUBCONTRACTOR ENGAGEMENT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agree that the Contractor has the right to engage subcontractors for the execution of certain Works from the List of potential Subcontractors which is an integral part of this agreement as the appendix 10, without the consent of the Client.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Contracting relation between the Contractor and subcontractors shall have no effect to relations between the Parties to this Contract, and the Contractor shall remain entirely responsible to the Client for all obligations and responsibilities assumed by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Delegation of any portion of the Works whatsoever by the Contractor to a subcontractor shall not charge the Client with any additional payments and shall not discharge or free the Contractor from any of its responsibilities, duties and obligations in accordance with this Contract, and the Contractor shall remain responsible for all acts, errors, omissions, faults or negligence of a subcontractor, which shall be deemed for all purposes hereunder to be the acts, errors, omissions, faults and negligence of the Contractor.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shall be deemed to create or constitute any contractual relationship between the Client and any subcontractor. The Contractor bears responsibility for the co-ordination of the works performed by all of its subcontractors, and the Contract price includes all the expenses of such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407"/>
        <w:gridCol w:w="4798"/>
      </w:tblGrid>
      <w:tr>
        <w:trPr/>
        <w:tc>
          <w:tcPr>
            <w:tcW w:w="540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snosi odgovornost za kvalitet izvedenih radova i materijal isporu&amp;ccaron;en od strane podizvo&amp;dstrok;a&amp;ccaron;a i dobavlja&amp;ccaron;a i za svu štetu prouzrokovanu od strane podizvo&amp;dstrok;a&amp;ccaron;a i dobavlja&amp;ccaron;a. Naru&amp;ccaron;ilac ne&amp;cacute;e snositi odgovornost za štetu u vezi sa radnjama Izvo&amp;dstrok;a&amp;ccaron;a i njegovih podizvo&amp;dstrok;a&amp;ccaron;a za vreme trajanja ovog Ugovora.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Ukoliko podizvo&amp;dstrok;a&amp;ccaron; ne poseduje sertifikate ili licence za radove koje izvodi, Klijent je ovlaš&amp;cacute;en da tra&amp;zcaron;i promenu navedenog podizvo&amp;dstrok;a&amp;ccaron;a.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da Izvo&amp;dstrok;a&amp;ccaron; odre&amp;dstrok;ene radove planira da dodeli Podizvo&amp;dstrok;a&amp;ccaron;ima van Liste potencijalnih Podizvo&amp;dstrok;a&amp;ccaron;a koja je prilog 10 i sastavni deo ovog Ugovora, o tome je du&amp;zcaron;an obavestiti Investitora najkasnije 15 (petnaest) dana pre po&amp;ccaron;etka predmetnih radova, a za koje anga&amp;zcaron;ovanje Podizvo&amp;dstrok;a&amp;ccaron;a mora da dobije pismenu saglasnost Investitora. Investitor zadr&amp;zcaron;ava pravo da odbije davanje saglasnosti Izvo&amp;dstrok;a&amp;ccaron;u na izbor Podizvo&amp;dstrok;a&amp;ccaron;a u celosti ili pojedina&amp;ccaron;no, uz dostavljanje opravdanog obrazlo&amp;zcaron;enja Izvo&amp;dstrok;a&amp;ccaron;u.</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ROKOVI IZVO&amp;Dstrok;ENJA RADOVA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17.</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Ugovorne strane su saglasne da su rokovi definisani u Dinami&amp;ccaron;kom planu koji je prilog 3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ima pravo na produ&amp;zcaron;enje ugovorenog roka u slu&amp;ccaron;aju više sile i to za onoliko dana koliko su trajale smetnje prouzrokovane višom silom.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ima pravo na produ&amp;zcaron;enje roka u slu&amp;ccaron;aju kada je do kašnjenja u izvo&amp;dstrok;enju radova došlo bez krivice Izvo&amp;dstrok;a&amp;ccaron;a. Izvo&amp;dstrok;a&amp;ccaron; ima pravo na produ&amp;zcaron;enje roka u odnosu na Dinami&amp;ccaron;ki plan izvo&amp;dstrok;enja radova u slu&amp;ccaron;aju da Naru&amp;ccaron;ilac kasni sa ispunjavanjem ugovornih obaveza kao što su dostava projektnih zadataka i tehni&amp;ccaron;ke dokumentacije, crte&amp;zcaron;a i sve druge neophodne podatke vezane za tehnologiju proizvodnje, tehni&amp;ccaron;kom kontrolom projektne dokumentacije, uplata avansa, uvo&amp;dstrok;enjem u radove ili Naru&amp;ccaron;ilac vrši izmene projekta u toku izvo&amp;dstrok;enja Radova.</w:t>
            </w:r>
          </w:p>
          <w:p>
            <w:pPr>
              <w:pStyle w:val="TableContents"/>
              <w:bidi w:val="0"/>
              <w:spacing w:before="0" w:after="0"/>
              <w:ind w:left="0" w:right="0" w:hanging="0"/>
              <w:jc w:val="left"/>
              <w:rPr>
                <w:caps w:val="false"/>
                <w:smallCaps w:val="false"/>
              </w:rPr>
            </w:pPr>
            <w:r>
              <w:rPr>
                <w:caps w:val="false"/>
                <w:smallCaps w:val="false"/>
              </w:rPr>
              <w:t> </w:t>
            </w:r>
          </w:p>
        </w:tc>
        <w:tc>
          <w:tcPr>
            <w:tcW w:w="4798"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bears responsibility for the quality of works performed and the materials delivered by the subcontractor and the suppliers, and for the damages caused by the subcontractors and the suppliers. For the damages in connection with the activities of the Contractor and his subcontractors for the duration of the Contract the Client shall not bear responsibility.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subcontractor does not have the certification or licence for the performing works, the Client shall be entitled to change the subcontractor.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Contractor plans to assign certain works to Subcontractors outside of the List of potential Subcontractors, which is Annex 10 and an integral part of this Agreement, he is obliged to inform the Investor about this no later than 15 (fifteen) days before the start of the work in question, and for which engagement of the Subcontractor he must obtain the written consent of the Investor. The Investor reserves the right to refuse to give consent to the Contractor for the selection of Subcontractors in whole or individually, with the submission of a justified explanation to the Contractor.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TIME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17.</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agree that the deadline for the execution of the Works is defined in the Time schedule representing the Appendix 3 to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has the right to extend the contracted deadlines in a case of force majeure for a period of lasting the interruptions caused by force majeure.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has the right to extend the deadline because of the event that caused the delay in the performance of the works, without the Contractor’s fault. Contractor is entitled to extend the deadline in the event that the Client is late in complying with contractual obligations such as the delivery of design task and technical documentation, drawings and all other necessary data related to production technology, technical control of design documentation, advance payment, site handover or make changes of the project during the Works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0" w:type="dxa"/>
          <w:bottom w:w="28" w:type="dxa"/>
          <w:right w:w="100" w:type="dxa"/>
        </w:tblCellMar>
      </w:tblPr>
      <w:tblGrid>
        <w:gridCol w:w="5364"/>
        <w:gridCol w:w="4841"/>
      </w:tblGrid>
      <w:tr>
        <w:trPr/>
        <w:tc>
          <w:tcPr>
            <w:tcW w:w="536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Ugovorne strane saglasno konstatuju da je na osnovu dokumentacije dostavljene od strane Naru&amp;ccaron;ioca i o trošku Naru&amp;ccaron;ioca, obaveza Izvo&amp;dstrok;a&amp;ccaron;a pribavljanje potrebnih saglasnosti i dozvola od dr&amp;zcaron;avnih organa, ali bez odgovornosti Izvo&amp;dstrok;a&amp;ccaron;a za rokove pribavljanja istih. Izvo&amp;dstrok;a&amp;ccaron; ima pravo na produ&amp;zcaron;enje roka u slu&amp;ccaron;aju da dr&amp;zcaron;avni organi ne izdaju ili kasne sa izdavanjem potrebnih saglasnosti i/ili dozvola koje omogu&amp;cacute;avaju izvo&amp;dstrok;enje radova u skladu sa Dinami&amp;ccaron;kim planom izvo&amp;dstrok;enja radova.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da Naru&amp;ccaron;ilac kasni sa pla&amp;cacute;anjem, za svaki dan kašnjenja u pla&amp;cacute;anju Izvo&amp;dstrok;a&amp;ccaron; ima pravo za produ&amp;zcaron;enje roka završetka radova za jednak broj dana.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da Naru&amp;ccaron;ilac kasni sa pla&amp;cacute;anjem du&amp;zcaron;e od 30 dana, Izvo&amp;dstrok;a&amp;ccaron; ima pravo da obustavi radove, uz dostavu obaveštenja 15 dana ranije.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 vreme obustave radova, Naru&amp;ccaron;ilac je u obavezi da plati gradilišne troškove (toaleta, struje, vode i sli&amp;ccaron;no) i troškove stajanja ljudstva i mehanizacije, troškove ošte&amp;cacute;enja na objektu usled vremenskih ili drugih okolnosti i sli&amp;ccaron;ne troškove.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NEMOGU&amp;Cacute;NOST IZVRŠENJA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18.</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Viša sila uklju&amp;ccaron;uje izuzetne doga&amp;dstrok;aje ili okolnosti: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koje su van kontrole ugovornih strana;</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koje ugovorne strane nisu mogle predvideti ili o&amp;ccaron;ekivati u vreme zaklju&amp;ccaron;enja Ugovora;</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koje ugovorne strane nisu mogle prevazi&amp;cacute;i ili otkloniti;</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koje se ne mogu pripisati u krivicu druge ugovorne strane.</w:t>
            </w:r>
          </w:p>
          <w:p>
            <w:pPr>
              <w:pStyle w:val="TableContents"/>
              <w:bidi w:val="0"/>
              <w:spacing w:before="0" w:after="0"/>
              <w:ind w:left="0" w:right="0" w:hanging="0"/>
              <w:jc w:val="left"/>
              <w:rPr>
                <w:caps w:val="false"/>
                <w:smallCaps w:val="false"/>
              </w:rPr>
            </w:pPr>
            <w:r>
              <w:rPr>
                <w:caps w:val="false"/>
                <w:smallCaps w:val="false"/>
              </w:rPr>
              <w:t> </w:t>
            </w:r>
          </w:p>
        </w:tc>
        <w:tc>
          <w:tcPr>
            <w:tcW w:w="484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mutually agree that on the basis of the documentation submitted by the Client and on the Clients cost, Contractor has the obligation to provide the consents and permits from the public authorities, but without Contractor’s liability for the obtaining deadlines. Contractor has the right to extend the deadline in case that public authorities do not issue or are in delay with issuance of the consents and/or permits that are required for the performing of the contractual works under the Time schedule.</w:t>
            </w:r>
          </w:p>
          <w:p>
            <w:pPr>
              <w:pStyle w:val="TableContents"/>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case that Client is late for payment, for each day of delay in payment, the Contractor has the right to extend the deadline for completion of works for an equal number of days.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case that Client is late with the payment for more than 30 days, the Contractor has the right to suspend all the works, by submitting of the notice 15 days earlier.</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suspension of the works, the Client is obliged to pay the construction costs (toilets, electricity, water, etc.) and the costs of standing of personnel and equipment, damage to the building due to weather or other circumstances and similar costs.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IMPOSSIBILITY OF PERFORMANCE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18.</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 means an exceptional event or circumstance: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which is beyond a Party’s control,</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which such Party could not reasonably predict or expect before entering into the Contract,</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that Party could not reasonably avoid or overcome, and</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10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which cannot be attributed to the fault of the other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448"/>
        <w:gridCol w:w="4757"/>
      </w:tblGrid>
      <w:tr>
        <w:trPr/>
        <w:tc>
          <w:tcPr>
            <w:tcW w:w="544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Viša sila, uklju&amp;ccaron;uje, ali nije ograni&amp;ccaron;ena na, izuzetne dogadjaje ili okolnosti, kao što su: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rat, neprijateljstva, invaziju ili akt okupatora kao i posledice navedenih;</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pobunu, terorizam, sabota&amp;zcaron;a od strane lica koja nisu anga&amp;zcaron;ovana od strane Izvodja&amp;ccaron;a, revolucije, ustanke, vojne akcije ili gra&amp;dstrok;anske ratove kao i posledice navedenih;</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nemire, štrajkove, blokade od stane lica koja nisu anga&amp;zcaron;ovana od strane izvo&amp;dstrok;a&amp;ccaron;a;</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upotreba municije, eksplozivnih materija, jonizuju&amp;cacute;eg zra&amp;ccaron;enja ili kontaminacije, osim ukoliko potreba navedenih materijala poti&amp;ccaron;e od strane Izvo&amp;dstrok;a&amp;ccaron;a radova;</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prirodne katastrofe, kao što su zemljotres, uragan, tajfun, poplave, epidemije i dr;</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odluke dr&amp;zcaron;avnih organa koje onemogu&amp;cacute;avaju izvo&amp;dstrok;enje Radova po ovom ugovoru,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Ukoliko je ugovorna strana ili &amp;cacute;e biti onemogu&amp;cacute;ena da ispuni obaveze predvi&amp;dstrok;ene ovim Ugovorom, iz razloga više sile, du&amp;zcaron;na je da drugu ugovornu stranu obavesti o prirodi doga&amp;dstrok;aja ili okolnosti koje predstavljaju višu silu, kao i da nazna&amp;ccaron;i koje obaveze ne&amp;cacute;e mo&amp;cacute;i da ispunjava.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Ugovorna strana koja uputi obaveštenje, bi&amp;cacute;e oslobodjena svojih obaveza za sve vreme trajanja više sile.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Svaka ugovorna strana du&amp;zcaron;na je da ulo&amp;zcaron;i sve potrebne napore kako bi smanjila uticaj više sile na ispunjenje ugovornih obaveza predvi&amp;dstrok;enih ovim Ugovorom.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Ugovorna strana pogodjena višom silom du&amp;zcaron;na je da o prestanku više sile obavesti drugu ugovornu stranu.</w:t>
            </w:r>
          </w:p>
          <w:p>
            <w:pPr>
              <w:pStyle w:val="TableContents"/>
              <w:bidi w:val="0"/>
              <w:spacing w:before="0" w:after="100"/>
              <w:ind w:left="0" w:right="0" w:hanging="0"/>
              <w:jc w:val="left"/>
              <w:rPr>
                <w:caps w:val="false"/>
                <w:smallCaps w:val="false"/>
              </w:rPr>
            </w:pPr>
            <w:r>
              <w:rPr>
                <w:caps w:val="false"/>
                <w:smallCaps w:val="false"/>
              </w:rPr>
              <w:t> </w:t>
            </w:r>
          </w:p>
        </w:tc>
        <w:tc>
          <w:tcPr>
            <w:tcW w:w="4757"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 may include, but is not limited to exceptional events or circumstances of the kind listed below, so long as conditions above are satisfied: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war, hostilities, invasion, act of foreign enemies as well as their consequences;</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rebellion, terrorism, sabotage by persons other than the Contractor’s personnel, revolution, insurrection, military or usurped power, or civil war, as well as their consequences;</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riot, commotion, disorder, strike or lockout by persons other than Contractor’s personnel;</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munitions of war, explosive materials, ionizing that could be attributable to the Contractor’s use of such munitions; explosives, radiation or radio-activity;</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natural catastrophes such as earthquake, hurricane, typhoon, floods, epidemics or other;</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decisions by state authorities that make the performance of Works under this contract impossible,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is or will be prevented from performing its obligations under the Contract by Force Majeure, then it shall give notice to the other Party of the event or circumstances constituting the Force Majeure and shall specify the obligations, the performance of which is or will be prevented.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shall, having given notice, be excused of performance of its obligations for so long as such Force Majeure prevents it from performing them.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at all times use all reasonable efforts to minimize any delay in the performance of the Contract as a result of Force Majeure.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shall give notice to the other Party when it ceases to be affected by the Force Majeure.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378"/>
        <w:gridCol w:w="4827"/>
      </w:tblGrid>
      <w:tr>
        <w:trPr/>
        <w:tc>
          <w:tcPr>
            <w:tcW w:w="53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OSIGURANJE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19.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Kao preduslov za uvo&amp;dstrok;enje u posao i pristup Gradilištu, Izvo&amp;dstrok;a&amp;ccaron; je du&amp;zcaron;an da zaklju&amp;ccaron;i sveobuhvatno osiguranje Radova prema polisi osiguranje koja je prilog 8 ovog ugovora, materijala i opreme na njihovu stvarnu vrednost, od uobi&amp;ccaron;ajenih rizika, kao i osiguranje svojih zaposlenih i drugih lica anga&amp;zcaron;ovanih na Gradilištu, kao i osiguranje od odgovornosti Izvo&amp;dstrok;a&amp;ccaron;a za štete tre&amp;cacute;im licima (Osiguranje izgradnje od svih rizika, tj. “CAR”).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Osiguranje &amp;cacute;e se izvršiti kod osiguravaju&amp;cacute;eg društva koje je prihvatljivo za Naru&amp;ccaron;ioca u vrednosti gra&amp;dstrok;evinskih Radova s tim što &amp;cacute;e u Ugovoru o osiguranju Naru&amp;ccaron;ilac i Izvo&amp;dstrok;a&amp;cacute; biti ozna&amp;ccaron;eni kao korisnici osiguranja i takav sertifikat &amp;cacute;e biti predat Naru&amp;ccaron;iocu neposredno nakon uvo&amp;dstrok;enja na Gradilište, a sve u skladu sa nacrtom polise osiguranja koja je prilog 8 ovog Ugovora. Urednom uplatom premija polisa osiguranja, osiguranje se mora odr&amp;zcaron;avati na snazi za &amp;ccaron;itav period va&amp;zcaron;enja ovog Ugovora. Izvo&amp;dstrok;a&amp;ccaron; je du&amp;zcaron;an da Naru&amp;ccaron;iocu preda kopije va&amp;zcaron;e&amp;cacute;ih polisa osiguranja.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Ukoliko Izvo&amp;dstrok;a&amp;ccaron; ne ugovori ili ne odr&amp;zcaron;ava na snazi osiguranje kako je predvi&amp;dstrok;eno ovim Ugovorom, to mo&amp;zcaron;e u&amp;ccaron;initi Naru&amp;ccaron;ilac o trošku Izvo&amp;dstrok;a&amp;ccaron;a i odbiti trošak od Ugovorene cene.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UGOVORNA KAZNA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20.</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Ukoliko Izvo&amp;dstrok;a&amp;ccaron; ne izvrši Radove u dogovorenom ili sporazumno produ&amp;zcaron;enom roku, Naru&amp;ccaron;ilac ima pravo zara&amp;ccaron;unati penale za svaki dan kašnjenja u visini od 0,2 % od Ugovorene cene odnosno najviše do 5% od ugovorne vrednosti.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Ugovorna kazna se obra&amp;ccaron;unava kod kona&amp;ccaron;nog obra&amp;ccaron;una Radova, odnosno, Okon&amp;ccaron;ane situacije.</w:t>
            </w:r>
          </w:p>
          <w:p>
            <w:pPr>
              <w:pStyle w:val="TableContents"/>
              <w:bidi w:val="0"/>
              <w:spacing w:before="0" w:after="0"/>
              <w:ind w:left="0" w:right="0" w:hanging="0"/>
              <w:jc w:val="left"/>
              <w:rPr>
                <w:caps w:val="false"/>
                <w:smallCaps w:val="false"/>
              </w:rPr>
            </w:pPr>
            <w:r>
              <w:rPr>
                <w:caps w:val="false"/>
                <w:smallCaps w:val="false"/>
              </w:rPr>
              <w:t> </w:t>
            </w:r>
          </w:p>
        </w:tc>
        <w:tc>
          <w:tcPr>
            <w:tcW w:w="4827"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precondition for introducing to the Works and access to the Site, the Contractor is obliged to conclude full-scale general insurance of works, which draft is an integral part of this agreement as the appendix 8, material and equipment to their actual value against customary risks including insurance of its employees and other engaged persons on the Site as well third party liability insurance (Construction All Risks insurance, i.e. “CAR”).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shall be concluded with the insurance company acceptable to the Client for the value of the construction Works provided that in the Insurance contract the Client and Contractor are stated as the beneficiary, and such certificate will be provided to Client upon the date of Site handover, all in line with the draft of the insurance policy which is Appendix 8 of this Contract. By duly payment of premiums the insurance policy shall be maintained in force for the whole duration of this Contract. The Contractor is obliged to provide the Client with the copies of the effective insurances policies.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Contractor fails to conclude or keep the insurance in force in accordance with the present Contract, the Client may do that at the expense of the Contractor and deduct the cost from the Contract price.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PENALTY</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20.</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Contractor fails to carry out the Works within the agreed or mutually extended term, the Client is entitled to charge penalties for each day of delay in the amount of 0,2% of the Contract price. i.e. maximum 5% of the contract value.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penalty, shall be calculated within the final calculation of Works, i.e. Final Payment Certificate.</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121"/>
        <w:gridCol w:w="5084"/>
      </w:tblGrid>
      <w:tr>
        <w:trPr/>
        <w:tc>
          <w:tcPr>
            <w:tcW w:w="512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IZMENE I DOPUNE RADOVA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Obim, vrsta i kvalitet Radova koji su definisani ovim Ugovorom, mogu se promeniti samo uz prethodnu pisanu saglasnost Naru&amp;ccaron;ioca odnosno njegovog ovlaš&amp;cacute;enog lica, što se evidentira u Gra&amp;dstrok;evinski dnevnik ili na drugi na&amp;ccaron;in u pisanom obliku.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da Naru&amp;ccaron;ilac ima potrebu za tehni&amp;ccaron;kim izmenama u toku izvo&amp;dstrok;enja radova, izda&amp;cacute;e Izvo&amp;dstrok;a&amp;ccaron;u Zahtev za izmenu sa definisanim zahtevima. Izvo&amp;dstrok;a&amp;ccaron; se obavezuje da se u roku od 7 dana od dana izdavanja Zahteva za izmenu izjasni o eventualnom uticaju izmene na cenu i rok izvo&amp;dstrok;enja radova. Naru&amp;ccaron;ilac &amp;cacute;e u roku od 7 dana od dana prijema izjašnjenja Izo&amp;dstrok;a&amp;ccaron;a odobriti izvo&amp;dstrok;enje radova u skladu sa tra&amp;zcaron;enom izmenom ili odustati od izmene.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PREUZIMANJE RADOVA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Uz završetak radova, Izvo&amp;dstrok;a&amp;ccaron; pisano obaveštava Naru&amp;ccaron;ioca, da su Radovi okon&amp;ccaron;ani.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Preuzimanje izvršenih Radova izvrši&amp;cacute;e ovlaš&amp;cacute;ena lica obe Strane. O preuzimanju radova pravi se Zapisnik o primopredaji, koji se potpisuje od strane ovlaš&amp;ccaron;enih lica.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Stru&amp;ccaron;ni nadzor je obavezan da pristupi Primopredaji radova najkasnije 2 Radna dana nakon poziva Izvo&amp;dstrok;a&amp;ccaron;a da se obavi ista i da je završi za maksimalno 7 Radnih dana. Pri primopredaji se konstatuju eventualni nedostaci ili kašnjenja kroz spisak primedbi za otklanjanje u okviru Zapisnika o primopredaji.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Uz to, tehni&amp;ccaron;ki pregled Proizvodnog objekta vrši komisija za tehni&amp;ccaron;ki pregled koju uspostavlja Naru&amp;ccaron;ilac u skladu sa Merodavnim pravom i snosi troškove njenog rada. Izvo&amp;dstrok;a&amp;ccaron; je u obavezi da otkloni sve nedostatke koje komisija utvrdi.</w:t>
            </w:r>
          </w:p>
          <w:p>
            <w:pPr>
              <w:pStyle w:val="TableContents"/>
              <w:bidi w:val="0"/>
              <w:spacing w:before="0" w:after="0"/>
              <w:ind w:left="0" w:right="0" w:hanging="0"/>
              <w:jc w:val="left"/>
              <w:rPr>
                <w:caps w:val="false"/>
                <w:smallCaps w:val="false"/>
              </w:rPr>
            </w:pPr>
            <w:r>
              <w:rPr>
                <w:caps w:val="false"/>
                <w:smallCaps w:val="false"/>
              </w:rPr>
              <w:t> </w:t>
            </w:r>
          </w:p>
        </w:tc>
        <w:tc>
          <w:tcPr>
            <w:tcW w:w="5084"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OF THE WORKS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21.</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type and quality of Works specified by this Contract may be amended only with the prior written consent of the Client, i.e. its authorized person, which shall be recorded in the Construction book or otherwise in writing.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case that Client needs technical changes during the execution of the works, he will issue to the Contractor a Request for change with defined requirements. The Contractor shall, within 7 days from the date of the receipt of the request for change, declare regarding the possible impact of the change on the contract price and the completion time. The Client shall, within 7 days from the date of receipt of the Contractor’s declaration, approve the execution of works in accordance with the requested change by signing of the change order or withdraw from the change.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TAKEOVER OF WORKS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22.</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shall notify the Client in writing of the completion of Works.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Takeover of the Works shall be done by authorized persons of both Parties. Handover protocol shall be made and signed by authorized persons.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Site supervision must proceed with handover and acceptance of Works no later than 2 Business days after the invitation of the Contractor to perform it and must conclude it within at the maximum 7 Business days. During handover and acceptance, possible deficiencies or defaults shall be recorded in the list of deficiencies for elimination in the Handover protocol.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technical inspection of the Production facility shall be performed by the commission for technical inspection which shall be established by the Client in accordance with the Applicable laws who will bear the costs of the commission service. The Contractor shall be obliged to remedy all deficiencies established by the commission.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796"/>
        <w:gridCol w:w="4409"/>
      </w:tblGrid>
      <w:tr>
        <w:trPr/>
        <w:tc>
          <w:tcPr>
            <w:tcW w:w="579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Ukoliko u toku tehni&amp;ccaron;kog pregleda Stru&amp;ccaron;ni nadzor utvrdi postojanje zna&amp;ccaron;ajnih nedostataka odnosno nedostataka na Proizvodnom objektu koji spre&amp;ccaron;avaju ugovorenu upotrebu Radova ili nedostataka izri&amp;ccaron;ito ugovorenih i garantovanih karakteristika kao i da Proizvodni objekat ili njegovi delovi nisu u skladu sa zahtevima postavljenim u ovom Ugovoru, Izvo&amp;dstrok;a&amp;ccaron; &amp;cacute;e odmah, odnosno u slede&amp;cacute;ih 60 dana od dana prijema pisanog obaveštenja od strane Stru&amp;ccaron;nog nadzora o uo&amp;ccaron;enim nedostacima, o svom sopstvenom trošku, otkloniti nedostatke.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Postojanje manjih nedostataka odnosno nedostataka koji po svojoj prirodi ne spre&amp;ccaron;avaju upotrebu Proizvodnog objekta ne spre&amp;ccaron;ava primopredaju Radova niti potpisivanje Zapisnika o primopredaji. Izvo&amp;dstrok;a&amp;ccaron; je u obavezi da u slede&amp;cacute;ih 30 dana od dana potpisivanja Zapisnika o primopredaji o svom sopstvenom trošku, otkloni ove nedostatke.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Napred navedeno &amp;cacute;e biti zabele&amp;zcaron;eno u izveštaju o otklonjenim nepravilnostima.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Ukoliko Izvo&amp;dstrok;a&amp;ccaron; propusti da otkloni gore navedene nedostatke u dogovorenom roku po&amp;ccaron;ev od dana prijema pisanog obaveštenja od strane Stru&amp;ccaron;nog nadzora o uo&amp;ccaron;enim neodstacima, Naru&amp;ccaron;ilac &amp;cacute;e imati pravo da otkloni nedostatke, o trošku Izvo&amp;dstrok;a&amp;ccaron;a, anga&amp;zcaron;ovanjem drugog izvo&amp;dstrok;a&amp;ccaron;a. U ovom slu&amp;ccaron;aju Naru&amp;ccaron;ilac &amp;cacute;e Izvo&amp;dstrok;a&amp;ccaron;u izdati fakturu na iznos koji je pla&amp;cacute;en od strane Naru&amp;ccaron;ioca drugom izvo&amp;dstrok;a&amp;ccaron;u a Izvo&amp;dstrok;a&amp;ccaron; &amp;cacute;e biti u obavezi da plati nazna&amp;ccaron;eni iznos u roku odre&amp;dstrok;enom u fakturi. Ako Izvo&amp;dstrok;a&amp;ccaron; propusti da plati taj iznos, na vreme i u potpunosti, Naru&amp;ccaron;ilac &amp;cacute;e biti ovlaš&amp;cacute;en da nadoknadi nepla&amp;cacute;eni iznos umanjenjem Okon&amp;ccaron;ane situacije.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svakom slu&amp;ccaron;aju, smatra se da je Primopredaja izvršena bez nedostataka ukoliko je Proizvodni objekat predat Naru&amp;ccaron;iocu na upotrebu.</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prestanka Radova na objektu koji nisu prouzrokovani krivicom Izvo&amp;dstrok;a&amp;ccaron;a, Naru&amp;ccaron;ilac je obavezan da izvrši pla&amp;cacute;anje svih dokumentovanih troškova Izvo&amp;dstrok;a&amp;ccaron;a radova na predmetnom objektu bez obzira da li oni ulaze u izvedene radove ili još neizvedene pozicije.</w:t>
            </w:r>
          </w:p>
        </w:tc>
        <w:tc>
          <w:tcPr>
            <w:tcW w:w="4409"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technical inspection the Site supervision establishes the existence of the substantial defects i.e. any defects on the Production facility that are preventing the agreed use of the Works as well as the lack of expressly guaranteed features or that the Production facility or parts thereof fail to meet the requirements set in this Contract, the Contractor shall immediately, i.e. in the next 60 days as of the date of receipt of the Site Supervision’s written document on detected defects, at its own expense, remove defects.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 Defects i.e. defects which by their nature are not such as to prevent the use of the Production facility shall not prevent the confirmation of handover by the parties and signing of the Handover protocol. The Contractor is obliged to remove any Minor Defects in the within 30 (thirty) days from signing the Handover Protocol.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mentioned shall be recorded in the report on elimination of deficiencies.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Contractor fails to remove aforementioned defects within agreed timeline calculating from the date of receipt of the Site supervision’s written document on detected defects, the Client shall have the right to remove defects, at the Contractor’s expense, by engaging another contractor. In this case the Client shall invoice the Contractor for the amount paid by the Client to the other contractor and the Contractor shall be obliged to pay that amount by the deadline stated in the invoice. If the Contractor fails to pay such an invoice, timely and fully, the Client is entitled to the reduction of the paid cost from the Final payment certificate.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it shall be considered that the Handover was carried out without defects if the Production facility was handed over to the Client for use.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suspension of Works on the building which is not caused by the Contractor’s fault, the Client must make payment of all documented costs of the Contractor at the respective facility, regardless of whether they concern the already completed works or not yet completed positions.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368"/>
        <w:gridCol w:w="4837"/>
      </w:tblGrid>
      <w:tr>
        <w:trPr/>
        <w:tc>
          <w:tcPr>
            <w:tcW w:w="536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ODGOVORNOST ZA NEDOSTATKE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je odgovoran za nedostatke izvršenih Radova u skladu sa ovim ugovorom.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Posle pregleda i primanja izvršenih Radova, Izvo&amp;dstrok;a&amp;ccaron; više ne odgovara za nedostatke koji su se mogli opaziti obi&amp;ccaron;nim pregledom. Ako se docnije poka&amp;zcaron;e neki nedostatak u izvršenim Radovima, koji je rezultat nekvalitetnog ili nestru&amp;ccaron;nog izvršenja Radova od strane Izvo&amp;dstrok;a&amp;ccaron;a, ali se nije mogao otkriti obi&amp;ccaron;nim pregledom, Naru&amp;ccaron;ilac se ipak mo&amp;zcaron;e pozvati na njega, pod uslovom da o njemu obavesti Izvo&amp;dstrok;a&amp;ccaron;a što pre, a najdu&amp;zcaron;e u roku od mesec dana od njegovog otkrivanja. Na odgovornost Izvo&amp;dstrok;a&amp;ccaron;a za nedostatke u izvršenim Radovima &amp;cacute;e se primenjivati odgovaraju&amp;cacute;e odredbe Zakona o obligacionim odnosima.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se u potpunosti osloba&amp;dstrok;a odgovornosti za nedostatke za izvršene Radove ukoliko je bilo koje lice nakon Izvo&amp;dstrok;a&amp;ccaron;a na izvršenim Radovima ili isporu&amp;ccaron;enoj opremi vršilo bilo kakve radove, izmene, prepravke ili popravke ili bilo koje druge radnje odnosno ukoliko su nedostaci posledica dejstva prirodnih pojava ili krivice Naru&amp;ccaron;ioca.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Nijedna strana ne&amp;cacute;e biti odgovorna drugoj strani ni za kakve indirektne štete ili izgubljenu dobit.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GARANCIJE IZVO&amp;Dstrok;A&amp;Ccaron;A I GARANCIJSKI PERIOD</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24.</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ime garancije za primljeni avans, Izvo&amp;dstrok;a&amp;ccaron; &amp;cacute;e u roku od 15 dana od dana zaklju&amp;ccaron;ivanja ovog Ugovora, dostaviti Naru&amp;ccaron;iocu: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Bankarsku garanciju na ukupni iznos ugovorenog avansa u formi koja je data u prilogu 5 ovog ugovora, </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koja prestaje da va&amp;zcaron;i i vra&amp;cacute;a se nakon što se avans opravda kroz mese&amp;ccaron;ne situacije.</w:t>
            </w:r>
          </w:p>
          <w:p>
            <w:pPr>
              <w:pStyle w:val="TableContents"/>
              <w:bidi w:val="0"/>
              <w:spacing w:before="0" w:after="0"/>
              <w:ind w:left="0" w:right="0" w:hanging="0"/>
              <w:jc w:val="left"/>
              <w:rPr>
                <w:caps w:val="false"/>
                <w:smallCaps w:val="false"/>
              </w:rPr>
            </w:pPr>
            <w:r>
              <w:rPr>
                <w:caps w:val="false"/>
                <w:smallCaps w:val="false"/>
              </w:rPr>
              <w:t> </w:t>
            </w:r>
          </w:p>
        </w:tc>
        <w:tc>
          <w:tcPr>
            <w:tcW w:w="4837"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DEFECT LIABILITY</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be responsible for the defects concerning the performed Works in accordance with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inspecting and receiving the completed Works, the Contractor is no longer responsible for defects that may have been observed by ordinary inspection. If any defect in the performed Works is subsequently revealed, which is the result of poor or unprofessional execution of the Works by the Contractor, but could not be detected by ordinary inspection, the Client may still invoke on it, provided that he informs the Contractor as soon as possible and for the longest time within one month of its discovery. The liability of the Contractor for defects in the performed Works shall be governed by the relevant provisions of the Law on torts and Obligations.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be completely free from liability for defects for the performed Works and installed equipment if any person after the Contractor performed any works, alterations, modifications or repairs or any other actions i.e. if the defects are the result of natural phenomena or guilt of the Client.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not be liable to the other party for any indirect damages or lost profits.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 FROM CONTRACTOR AND MAINTENANCE PERIOD</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name of the guarantee for the received advance, Contractor shall, within 15 days from the day of signing of this Contract deliver to the Client: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a bank guarantee on the total amount of the agreed advance payment in the form that is given in the appendix 5 of this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ceases to be valid and returns after being justified through monthly payment certificates.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199"/>
        <w:gridCol w:w="5006"/>
      </w:tblGrid>
      <w:tr>
        <w:trPr/>
        <w:tc>
          <w:tcPr>
            <w:tcW w:w="5199"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ima pravo da u toku izvo&amp;dstrok;enja zameni ili aneksira Bankarsku garanciju za avans na iznos neopravdanog dela avansa, uz prethodnu saglasnost Naru&amp;ccaron;ioca.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25.</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ime Garancije za dobro izvršenje posla, Izvo&amp;dstrok;a&amp;ccaron; &amp;cacute;e u roku od 15 dana od dana zaklju&amp;ccaron;ivanja ovog Ugovora, dostaviti Naru&amp;ccaron;iocu: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Bankarsku Garanciju za dobro izvršenje posla na 10% vrednosti ugovorenih Radova u formi koja je data u prilogu 6 ovog ugovora,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koja prestaje da va&amp;zcaron;i i vra&amp;cacute;a se danom potpisivanja Zapisnika o primopredaji.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Smatra se da dogovoreni posao nije dobro izvršen ukoliko isti nije ispunjen saobrazno ugovorenom kvalitetu odnosno ukoliko isti nije izvršen u ugovorenom roku.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Radi izbegavanja svake sumnje, ugovorne strane su saglasne da se bankarska garancija za dobro izvršenje posla mo&amp;zcaron;e aktivirati u slede&amp;cacute;im slu&amp;ccaron;ajevima: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 slu&amp;ccaron;aju neizvršenja Radova saobrazno ugovorenom kvalitetu uz kumulativno ispunjenje slede&amp;cacute;ih uslova :</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Izvo&amp;dstrok;a&amp;ccaron; je manjkavo izveo Radove na osnovu Ugovora;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Naru&amp;ccaron;ilac je pisanim putem upozorio Izvo&amp;dstrok;a&amp;ccaron;a na manjkavo izvedene Radove i istom je ostavio dodatni rok za otklanjanje nedostataka ne kra&amp;cacute;i od 30 dana a maksimum 40 dana, a koje Izvo&amp;dstrok;a&amp;ccaron; ni u dodatnom roku nije otklonio;</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Naru&amp;ccaron;ilac nije mogao da namiri svoje pretrpljene troškove otklanjanja nedostatka Izvo&amp;dstrok;a&amp;ccaron;u putem umanjenja iz situacije za teku&amp;cacute;i mesec u kome je istekao rok za otklanjanje nedostataka;</w:t>
            </w:r>
          </w:p>
          <w:p>
            <w:pPr>
              <w:pStyle w:val="TableContents"/>
              <w:bidi w:val="0"/>
              <w:spacing w:before="0" w:after="0"/>
              <w:ind w:left="0" w:right="0" w:hanging="0"/>
              <w:jc w:val="left"/>
              <w:rPr>
                <w:caps w:val="false"/>
                <w:smallCaps w:val="false"/>
              </w:rPr>
            </w:pPr>
            <w:r>
              <w:rPr>
                <w:caps w:val="false"/>
                <w:smallCaps w:val="false"/>
              </w:rPr>
              <w:t> </w:t>
            </w:r>
          </w:p>
        </w:tc>
        <w:tc>
          <w:tcPr>
            <w:tcW w:w="5006"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has the right, during the performance of Works, to replace or annex the Advance Payment Guarantee on the amount of the undue part of the advance, with prior consent of the Client.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25.</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name of the Performance guarantee, Contractor shall, within 15 days from the day of signing this Agreement, deliver to the Client: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 bank Performance guarantee on the 10% of the value of the contracted Works in the form that is given in the appendix 6 of this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ceases to be valid and returns on the day of signing the Handover protocol.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considered that the agreed work is not well performed if it is not fulfilled by the contractually agreed quality, or if it is not executed within the agreed time.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avoidance any doubt, the Parties agree that a bank Performance guarantee may be activated in the following cases: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a case of non-performance of Works in accordance to the contracted quality with the cumulative fulfillment of the following conditions: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Contractor failed to perform Works according to the quality set forth by this Contract;</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Client by a written notice warned the Contractor of the defective Works and left him an additional deadline of minimum 30 days and maximum 40 days for remedying deficiencies, and which the Contractor did not remove in the additional period;</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10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Client could not settle his suffered costs of eliminating the deficiency to the Contractor through a reduction from the invoice for the current month in which the deadline for elimination of defects expired;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253"/>
        <w:gridCol w:w="4952"/>
      </w:tblGrid>
      <w:tr>
        <w:trPr/>
        <w:tc>
          <w:tcPr>
            <w:tcW w:w="525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i/ili</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 slu&amp;ccaron;aju neblagovremenog završetka Radova po Ugovoru ukoliko su kumulativno ispunjeni slede&amp;cacute;i uslovi:</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Izvo&amp;dstrok;a&amp;ccaron; nije blagovremeno završio Radove na osnovu Ugovora, kao i u tom trenutku va&amp;zcaron;e&amp;cacute;eg Projekta za izvo&amp;dstrok;enje i prema njemu usaglašenoj Dinamici za izvo&amp;dstrok;enje Radova;</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Naru&amp;ccaron;ilac nije mogao da namiri svoje eventualno potra&amp;zcaron;ivanje na ime ugovorne kazne iz &amp;ccaron;lana 20 ovog ugovora prema Izvo&amp;dstrok;a&amp;ccaron;u putem umanjenja iz situacije za teku&amp;cacute;i mesec u kome je isteklo 30 dana kašnjenja. Radi izbegavanja svake sumnje, bankarska Garancija za dobro izvršenje posla u slu&amp;ccaron;aju neblagovremenog izvršenja Ugovora za naplatu eventualnog potra&amp;zcaron;ivanja na ime ugovorne kazne iz &amp;ccaron;lana 20 ovog ugovora mo&amp;zcaron;e se aktivirati maksimum do iznosa 5% od ukupne cene Radova.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26.</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odgovara za sve izvedene Radove i ugra&amp;dstrok;eni materijal u izradi Proizvodnog objekta po ovom ugovoru i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za sve izvedene radove 2 godine od dana primopredaje Proizvodnog objekta,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t>za nedostatke u konstrukciji Proizvodnog objekta koji se ti&amp;ccaron;u njegove solidnosti 10 godina od dana primopredaje objekta.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 ugra&amp;dstrok;enu opremu va&amp;zcaron;i garantni rok proizvo&amp;dstrok;a&amp;ccaron;a te opreme.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Garancija na opremu va&amp;zcaron;i uz obavezu Naru&amp;ccaron;ioca da istu redovno servisira prema uputstvima proizvo&amp;dstrok;a&amp;ccaron;a i koristi u skladu sa predvi&amp;dstrok;enom namenom.</w:t>
            </w:r>
          </w:p>
        </w:tc>
        <w:tc>
          <w:tcPr>
            <w:tcW w:w="4952"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event of untimely finished Works under the Contract, if the following conditions are cumulatively fulfilled:</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Contractor did not timely finished Works on the basis of the Contract, as well as at that time the applicable Project for execution and according to its agreed Time schedule;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Client could not settle its eventual demand in the name of the contractual penalty referred to in Article 20 of this Contract according to Contractor by reduction from the invoice for the current month in which the 30-day of delay has expired. For avoidance of any doubt, a Performance guarantee in the event of untimely execution of the Contract for payment of eventual claim in the name of the contractual penalty referred to in Article 20 of this Contract can be activated up to maximum 5% of the total price of Works.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26.</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be liable for all performed Works and built-in material in the construction of the Production facility by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 (two) years, counting from the date of handing over the works on the Production facility, for all performed works,</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10 (ten) years, counting from the date of handing over the works, for construction of the Production facility regarding its solidity.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installed equipment is valid the warranty period of the manufacturer of this equipment.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warranty on the equipment is valid only in a condition that the Client makes a regularly service of it according to the manufacturer’s instructions and use it in accordance with the intended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735"/>
        <w:gridCol w:w="4470"/>
      </w:tblGrid>
      <w:tr>
        <w:trPr/>
        <w:tc>
          <w:tcPr>
            <w:tcW w:w="57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27.</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 skrivene greške, koje se pojave u garancijskom periodu, Naru&amp;ccaron;ilac je du&amp;zcaron;an obavestiti Izvo&amp;dstrok;a&amp;ccaron;a odmah nakon što su uo&amp;ccaron;ene. Ugovorne strane sporazumno odre&amp;dstrok;uju rok za otklanjanje nepravilnosti. Izvo&amp;dstrok;a&amp;cacute; je du&amp;zcaron;an pristupiti otklanjanju nepravilnosti što je pre mogu&amp;cacute;e i otklanja ih o svom trošku.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Ukoliko Izvo&amp;dstrok;a&amp;ccaron; ne pristupi otklanjanju nepravilnosti u dogovorenom roku ili ih ne otkloni u dogovorenom roku, Naru&amp;ccaron;ilac ima pravo, po na&amp;ccaron;elu dobrog gospodara otkloniti ih sam na trošak Izvo&amp;dstrok;a&amp;ccaron;a.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radova nije du&amp;zcaron;an da otkloni nedostatke koji su nastali kao posledica nestru&amp;ccaron;nog rukovanja i upotrebe, odnosno nenamenskog koriš&amp;cacute;enja izgra&amp;dstrok;enog objekta/opreme od strane Naru&amp;ccaron;ilaca ili tre&amp;cacute;ih lica.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28.</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&amp;cacute;e Naru&amp;ccaron;iocu na ime garantnog roka dostaviti Bankarsku garanciju za garantni rok shodno &amp;ccaron;lanu 26 ovog ugovora na 5% iznosa od vrednosti realizovanih Radova u formi koja je data u prilogu 7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Bankarska garancija za garantni rok se izdaje sa rokom va&amp;zcaron;enja od 2 (dve) godine od dana primopredaje.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Bankarska garancija za garantni rok se dostavlja u roku od 15 dana nakon obostranog potpisivanja Zapisnika o primopredaji kojim su definisani kona&amp;ccaron;ni iznos Radova i datum isteka garantnog roka.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Radi izbegavanja svake sumnje, ugovorne strane su saglasne da se bankarska garancija za garantni rok mo&amp;zcaron;e aktivirati uz kumulativno ispunjenje slede&amp;cacute;ih uslova: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 garantnom roku iz &amp;ccaron;lana 26 ovog ugovora su se pojavili nedostaci na izvedenim Radovima nastali krivicom ili nepa&amp;zcaron;njom Izvo&amp;dstrok;a&amp;ccaron;a;</w:t>
            </w:r>
          </w:p>
          <w:p>
            <w:pPr>
              <w:pStyle w:val="TableContents"/>
              <w:bidi w:val="0"/>
              <w:spacing w:before="0" w:after="0"/>
              <w:ind w:left="0" w:right="0" w:hanging="0"/>
              <w:jc w:val="left"/>
              <w:rPr>
                <w:caps w:val="false"/>
                <w:smallCaps w:val="false"/>
              </w:rPr>
            </w:pPr>
            <w:r>
              <w:rPr>
                <w:caps w:val="false"/>
                <w:smallCaps w:val="false"/>
              </w:rPr>
              <w:t> </w:t>
            </w:r>
          </w:p>
        </w:tc>
        <w:tc>
          <w:tcPr>
            <w:tcW w:w="447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27.</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shall inform the Contractor of the hidden defects appeared during the guarantee period, immediately upon noticing. The Parties shall mutually determine the term for elimination of defects. Contractor shall start to eliminate defects as soon as possible and at its own cost.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Contractor failed to start with elimination of defects within the agreed period or failed to eliminate the same within the agreed time, Client shall have the right, as a good business person, to eliminate defects at Contractor’s costs.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not be obliged to eliminate the defects that have arisen as a result of improper handling and use, or the unintentional use of the constructed facility / equipment by the Client or third parties.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28.</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Contractor shall, on behalf of the warranty period, deliver the Bank guarantee for the warranty period pursuant to Article 26 of this Contract to 5% of the value of the performed Works in the form that is given in the appendix 7 of this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guarantee for the warranty period shall be issued with a validity period of 2 (two) years from the handover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guarantee for the warranty period shall be delivered within 15 days after the mutual signing of the Handover protocol, which defines the final amount of performed Works and the expiration date of the warranty period.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avoidance of any doubt, the Parties agree that the bank guarantee for the warranty period may be activated with the cumulative fulfillment of the following conditions: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During the warranty period referred to in Article 26 of this Contract appeared defects in performed Works caused by the Contractor’s fault or negligence;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355"/>
        <w:gridCol w:w="4850"/>
      </w:tblGrid>
      <w:tr>
        <w:trPr/>
        <w:tc>
          <w:tcPr>
            <w:tcW w:w="53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Naru&amp;ccaron;ilac je pisanim putem upozorio Izvo&amp;dstrok;a&amp;ccaron;a na uo&amp;ccaron;ene nedostatke i pozvao ga na sastavljanje zapisnika o reklamaciji kojoj je Izvo&amp;dstrok;a&amp;ccaron; obavezan da pristupi;</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Izvo&amp;dstrok;a&amp;ccaron; nije otklonio nedostatke prema obostrano potpisanom zapisniku o reklamaciji ni u dodatno ostavljenom roku za otklanjanje nedostataka od minimum 30 dana a maksimum 40 dana;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Izvo&amp;dstrok;a&amp;ccaron; nije platio Naru&amp;ccaron;iocu fakturu za otklanjanje nedostataka izdatu od firme koja je otklonila nedostatke koje je Izvo&amp;dstrok;a&amp;ccaron; propustio da otkloni.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PRENOS PRAVA I OBAVEZA</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29.</w:t>
            </w:r>
          </w:p>
          <w:p>
            <w:pPr>
              <w:pStyle w:val="TableContents"/>
              <w:bidi w:val="0"/>
              <w:spacing w:before="0" w:after="0"/>
              <w:ind w:left="36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Nijedna strana nema pravo da prenese Ugovor u celini ili bilo kakvu korist ili interes koji sledi iz Ugovora bez prethodne saglasnosti druge Ugovorne strane.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RASKID UGOVORA</w:t>
            </w:r>
          </w:p>
          <w:p>
            <w:pPr>
              <w:pStyle w:val="TableContents"/>
              <w:bidi w:val="0"/>
              <w:spacing w:before="0" w:after="0"/>
              <w:ind w:left="72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Ugovorne strane su saglasne, da &amp;cacute;e sve eventualne sporove rešavati sporazumno, a ukoliko to nije mogu&amp;cacute;e spor &amp;cacute;e rešavati nadle&amp;zcaron;ni sud u Beogradu prema srpskom zakonodavstvu.</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Svaka ugovorna strana ima pravo na jednostrani raskid ugovora u slu&amp;ccaron;aju da nad drugom ugovornom stranom bude pravosna&amp;zcaron;no otvoren postupak ste&amp;ccaron;aja, likvidacije ili da drugoj ugovornoj strani bude izre&amp;ccaron;ena pravosna&amp;zcaron;na mera zabrane obavljanja privredne delatnosti.</w:t>
            </w:r>
          </w:p>
          <w:p>
            <w:pPr>
              <w:pStyle w:val="TableContents"/>
              <w:bidi w:val="0"/>
              <w:spacing w:before="0" w:after="0"/>
              <w:ind w:left="0" w:right="0" w:hanging="0"/>
              <w:jc w:val="left"/>
              <w:rPr>
                <w:caps w:val="false"/>
                <w:smallCaps w:val="false"/>
              </w:rPr>
            </w:pPr>
            <w:r>
              <w:rPr>
                <w:caps w:val="false"/>
                <w:smallCaps w:val="false"/>
              </w:rPr>
              <w:t> </w:t>
            </w:r>
          </w:p>
        </w:tc>
        <w:tc>
          <w:tcPr>
            <w:tcW w:w="485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The Client warned the Contractor in writing of the identified deficiencies and invited him to prepare a record of the complaint to which invitation Contractor is obliged to approach;</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The Contractor has not remedied the defects according to the record of the complaint signed by the both parties in the additional deadline of minimum 30 days and maximum 40 days for elimination of defects</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The Contractor has not paid to the Client an invoice for the elimination of defects issued by the company that has remedied the defects which the Contractor has failed to remove.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RIGHTS AND OBLIGATIONS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assign the whole Contract or any benefit or interest in or under the Contract without the prior consent of the other Party.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all possible disputes will be dealt with by mutual agreement, and if this is not possible the dispute will be resolved by the competent court in Belgrade, in accordance with the Serbian legislation.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have the right to unilaterally terminate the contract in a case of final court decision on bankruptcy, on liquidation proceedings against the other Party or the enforceable measure of the prohibition of business activity being imposed on the other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295"/>
        <w:gridCol w:w="4910"/>
      </w:tblGrid>
      <w:tr>
        <w:trPr/>
        <w:tc>
          <w:tcPr>
            <w:tcW w:w="52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32.</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Svaka ugovorna strana ima pravo na jednostrani raskid ugovora u slu&amp;ccaron;aju kašnjenja sa izvršenjem materijalne obaveza druge ugovorne strane u trajanju du&amp;zcaron;em od 30 dana uz prethodno dostavljanje pisanog obaveštenja preporu&amp;ccaron;enom poštom u kojem je definisana ugovorna obaveza &amp;ccaron;ije izvršenje je u kašnjenju, definisano vreme kašnjenja kao i dodatni rok za postupanje ne kra&amp;cacute;i od 30 dana.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raskida ugovora, ugovorne strane se obavezuju da &amp;cacute;e u roku od 3 dana od dana raskida ugovora uz obavezno u&amp;ccaron;eš&amp;cacute;e Stru&amp;ccaron;nog nadzora pristupe sa&amp;ccaron;injavanju zapisnika o stanju Radova na dan raskida u kvalitativnom i kvantitativnom smislu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osnovu sa&amp;ccaron;injenog zapisnika u dodatnom roku od 15 dana strane &amp;cacute;e uz obavezno u&amp;ccaron;eš&amp;cacute;e Stru&amp;ccaron;nog nadzora izvršiti kona&amp;ccaron;ni obra&amp;ccaron;un me&amp;dstrok;usobnih potra&amp;zcaron;ivanja ugovornih strana koji &amp;cacute;e sadr&amp;zcaron;ati kumulativ izvedenih radova do dana raskida ugovora, ugovorne kazne, realizovani avans, naru&amp;ccaron;en a neisporu&amp;ccaron;en materijal / opremu i pla&amp;cacute;anja po mese&amp;ccaron;nim situacijama.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MERODAVNO PRAVO</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Ovaj Ugovor kao i sredstva obezbe&amp;dstrok;enja data po osnovu ovog ugovora podle&amp;zcaron;u zakonima Republike Srbije.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sva pitanja koja nisu regulisana ovim ugovorom, primenjiva&amp;cacute;e se odredbe Zakona o obligacionim odnosima i ostalim zakonima primenjivim prema srpskom zakonodavstvu.</w:t>
            </w:r>
          </w:p>
        </w:tc>
        <w:tc>
          <w:tcPr>
            <w:tcW w:w="491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32.</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be entitled to unilateral termination of the Contract in the event of a delay in the performance of the material obligations of the other party for a length of more than 30 days with the prior submission of a written notification by registered post in which the contractual obligation that is not performed is defined, the delay time is defined as well as the additional deadline for treatment not shorter than 30 days.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termination of the Contract, the Parties undertake to approve, within 3 days from the date of the termination of the Contract, the compulsory participation of the Site supervision, by making a record of the status of Works on the day of termination in qualitative and quantitative terms.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completed record in the additional 15-days period, the Parties will, with the obligatory participation of the Site supervision, make a final statement of mutual claims between the Parties that will contain cumulative works and all documented costs until the day of the termination of the Contract, contractual penalties and bonuses, realized advances, ordered but undelivered material / equipment and payments on monthly invoices.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LAW</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as well as the securities given according this agreement shall be governed by and construed in accordance with the laws of the Republic of Serbia.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matters not governed by this Agreement shall be governed by the Law on Contracts and Torts and other applicable laws of the Republic of Serbia.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395"/>
        <w:gridCol w:w="4810"/>
      </w:tblGrid>
      <w:tr>
        <w:trPr/>
        <w:tc>
          <w:tcPr>
            <w:tcW w:w="53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POVERLJIVE INFORMACIJE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Ugovorne strane &amp;cacute;e &amp;ccaron;uvati kao poverljive sve informacije pribavljene od strane druge Ugovorne strane prilikom pregovora za zaklju&amp;ccaron;enje ovog Ugovora, zaklju&amp;ccaron;enja ovog Ugovora, kao i prilikom realizacije prava i izvršavanja obaveza predvi&amp;dstrok;enih ovim Ugovorom.</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Obaveza &amp;ccaron;uvanja poverljivih informacija ne odnosi se na informacije koje se smatraju javno dostupnim informacijama u skladu sa Merodavnim pravom.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Obaveza &amp;ccaron;uvanje poverljivih informacija podrazumeva, inter alia, slede&amp;cacute;e obaveze Ugovornih strana: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da &amp;ccaron;uvaju kao poverljive sve informacije u vezi sa ovim Ugovorom, informacije pribavljene prilikom pregovora za zaklju&amp;ccaron;enje ovog Ugovora, zaklju&amp;ccaron;enja ovog Ugovora, kao i prilikom realizacije prava i izvršavanja obaveza predvi&amp;dstrok;enih ovim Ugovorom;</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da &amp;ccaron;uvaju kao poverljive sve informacije u vezi sa drugom Ugovornom stranom i pravnim i fizi&amp;ccaron;kim licima koja se smatraju povezanim licima sa Ugovornom stranom u smislu Zakona o privrednim društvima (Slu&amp;zcaron;beni glasnik RS br. 36/2011, 99/2011, 83/2014 – drugi zakona, 5/2015, 44/2018, 95/2018, 91/2019,109/2021 i 19/2025);</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da &amp;ccaron;uvaju kao poverljive sve informacije o poslovanju i poslovnoj strategiji i planovima druge Ugovorne strane;</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da &amp;ccaron;uvaju kao poverljive sve materijale, dokumente i/ili informacije pribavljene od strane druge Ugovorne strane, njenih povezanih lica, poslovnih partnera i saradnika, kao i sve druge informacije o planiranim, zapo&amp;ccaron;etim i/ili završenim poslovnim aktivnostima i/ili finansijskim aktivnostima i/ili planovima druge Ugovorne strane.</w:t>
            </w:r>
          </w:p>
          <w:p>
            <w:pPr>
              <w:pStyle w:val="TableContents"/>
              <w:bidi w:val="0"/>
              <w:spacing w:before="0" w:after="0"/>
              <w:ind w:left="0" w:right="0" w:hanging="0"/>
              <w:jc w:val="left"/>
              <w:rPr>
                <w:caps w:val="false"/>
                <w:smallCaps w:val="false"/>
              </w:rPr>
            </w:pPr>
            <w:r>
              <w:rPr>
                <w:caps w:val="false"/>
                <w:smallCaps w:val="false"/>
              </w:rPr>
              <w:t> </w:t>
            </w:r>
          </w:p>
        </w:tc>
        <w:tc>
          <w:tcPr>
            <w:tcW w:w="481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INFORMATION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keep confidential all information obtained from the other Party during negotiations for entering into this Contract, signing this Contract, as well as the exercise of rights and fulfillment of obligations determined by this Contract.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to keep confidential information does not refer to the information considered as publicly available information in accordance with the Applicable 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to keep confidential information includes, inter alia, the following obligations of the Parties: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keep confidential all information relating to this Contract, information obtained during negotiations for the purpose of entering into this Contract, signing this Contract, as well as during exercise of rights and fulfillment of obligations referred to in this Contract;</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keep confidential all information regarding the other Party and the legal entities and persons considered as Party’s affiliates in accordance with the Law on Companies (Official Gazette of RS no. 36/2011, 99/2011, 83/2014 – other law, 5/2015, 44/2018, 95/2018, 91/2019, 109/2021 and i 19/2025);</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keep confidential all information regarding the business activities and business strategy and plans of the other Party;</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10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keep confidential all materials, documents and/or information obtained from the other Party, its affiliates, business partners and associates, as well as all other information regarding planned, initiated and/or finished business activities and/or financial activities and/or plans of the other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563"/>
        <w:gridCol w:w="4642"/>
      </w:tblGrid>
      <w:tr>
        <w:trPr/>
        <w:tc>
          <w:tcPr>
            <w:tcW w:w="556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Ugovorne strane su saglasne da obaveza &amp;ccaron;uvanja poverljivih informacija va&amp;zcaron;i u periodu od 5 (pet) godina od Dana zaklju&amp;ccaron;enja.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Svaka od Ugovornih strana je du&amp;zcaron;na da obezbedi poštovanje obaveze &amp;ccaron;uvanja poverljivih informacija od strane njenih organa upravljanja, zaposlenih, pravnih, finansijskih i drugih konsultanata.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povrede obaveze &amp;ccaron;uvanja poverljivih informacija od strane organa upravljanja, zaposlenih, pravnih, finansijskih i drugih konsultanata Ugovorne strane, Ugovorna strana je du&amp;zcaron;na da drugoj Ugovornoj strani nadoknadi stvarnu štetu prouzrokovanu povredom pomenute obaveze.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Svaka od Ugovornih strana mo&amp;zcaron;e osloboditi drugu Ugovornu stranu obaveze &amp;ccaron;uvanja poverljivih informacija u pogledu odre&amp;dstrok;ene informacije, materijala i/ili dokumenta.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Oslobo&amp;dstrok;enje iz prethodnog paragrafa se daje isklju&amp;ccaron;ivo u pisanoj formi, sa preciznom naznakom informacije, materijala i/ili dokumenta u pogledu kojeg je druga Ugovorna strana oslobo&amp;dstrok;ena obaveze &amp;ccaron;uvanja poverljivih informacija.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OBAVEŠTENJA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35.</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 obaveštenja, zahtevi, instrukcije, i bilo koji drugi vid komunikacije izme&amp;dstrok;u Ugovornih strana u vezi sa ovim Ugovorom i ostvarivanjem prava i izvršavanjem obaveza iz ovog Ugovora moraju biti u&amp;ccaron;injeni u pisanoj formi, u skladu sa kontakt podacima (kontakt osoba, odgovaraju&amp;cacute;a adresa/e-mail adresa) navedenim u ovom &amp;ccaron;lanu.</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Izuzetno, kratka obaveštenja i druga komunikacija koja nije vezana za izvršavanje suštinskih obaveza iz ovog Ugovora, uklju&amp;ccaron;uju&amp;cacute;i ali ne ograni&amp;ccaron;avaju&amp;cacute;i se na zakazivanje sastanka izme&amp;dstrok;u Ugovornih strana, mo&amp;zcaron;e biti u&amp;ccaron;injena usmeno, telefonskim putem, u skladu sa kontakt podacima (kontakt osoba, broj telefona) navedenim u ovom &amp;ccaron;lanu.</w:t>
            </w:r>
          </w:p>
          <w:p>
            <w:pPr>
              <w:pStyle w:val="TableContents"/>
              <w:bidi w:val="0"/>
              <w:spacing w:before="0" w:after="0"/>
              <w:ind w:left="0" w:right="0" w:hanging="0"/>
              <w:jc w:val="left"/>
              <w:rPr>
                <w:caps w:val="false"/>
                <w:smallCaps w:val="false"/>
              </w:rPr>
            </w:pPr>
            <w:r>
              <w:rPr>
                <w:caps w:val="false"/>
                <w:smallCaps w:val="false"/>
              </w:rPr>
              <w:t> </w:t>
            </w:r>
          </w:p>
        </w:tc>
        <w:tc>
          <w:tcPr>
            <w:tcW w:w="4642"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the obligation to keep confidential information shall be valid for the period of 5 (five) years from the Effective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is obliged to provide the compliance with the obligation to keep confidential information by its management bodies, employees, legal, financial and other consultants.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 breach of the obligation to keep confidential information by the Party’s management bodies, employees, legal, financial and other consultants, such Party is obliged to compensate the other Party for the real damages caused by the breach of the mentioned obligation.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may deliberate the other Party from the obligation to keep confidential information in respect to certain information, material and/or document.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Deliberation referred to in the previous paragraph is exclusively issued in writing, with the precise indication of information, material and/or document in respect to which the other Party is deliberated from the obligation to keep confidential information.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notifications, requests, instructions and any other type of communication between the Parties relating to this Contract, exercise of rights and fulfillment of obligations referred to in this Contract shall be made in writing, in accordance with the contact details (contact person, suitable address/e-mail address) specified in this Article.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Exceptionally, short notices and other communication not connected with the fulfillment of essential obligations from this Contract, including, but not limited to scheduling meetings between the Parties, may be done verbally, by phone, in accordance with the contact details (contact person, phone number) specified in this Article.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483"/>
        <w:gridCol w:w="4722"/>
      </w:tblGrid>
      <w:tr>
        <w:trPr/>
        <w:tc>
          <w:tcPr>
            <w:tcW w:w="548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Kontakt podaci za dostavljanje obaveštenja, zahteva, instrukcija, svih dokumenata i bilo koji drugi vid komunikacije izme&amp;dstrok;u Ugovornih strana su slede&amp;cacute;i: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 Naru&amp;ccaron;ioca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Kontakt osoba: 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Adresa: 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Broj telefona: 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 Izvo&amp;dstrok;a&amp;ccaron;a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Kontakt osoba: Vesna Prodanovic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Adresa: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Broj telefona: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adresa: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promene kontakt podataka navedenih u prethodnom stavu, Ugovorna strana &amp;ccaron;iji su kontakt podaci promenjeni je du&amp;zcaron;na da drugu Ugovornu stranu obavesti o takvoj promeni najkasnije narednog Radnog dana.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36.</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Smatra&amp;cacute;e se da je obaveštenje i bilo koji drugi vid komunikacije dostavljen drugoj Ugovornoj strani: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 slu&amp;ccaron;aju dostavljanja preporu&amp;ccaron;enom poštom ili kurirskom slu&amp;zcaron;bom, u trenutku potpisivanja potvrde o prijemu pošiljke ili</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 slu&amp;ccaron;aju slanja e-mailom, u trenutku kada se predmetna e-mail poruka pojavi u inbox (primljeno) folderu primaoca e-maila.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Ukoliko dostavljanje na na&amp;ccaron;in naveden u prethodnom stavu nastupi nakon 17.00h tokom Radnog dana, ili na dan koji se u skladu sa Merodavnim pravom smatra neradnim danom, smatra&amp;cacute;e se da je dostavljeno izvršeno prvog narednog Radnog dana u 09.00h.</w:t>
            </w:r>
          </w:p>
          <w:p>
            <w:pPr>
              <w:pStyle w:val="TableContents"/>
              <w:bidi w:val="0"/>
              <w:spacing w:before="0" w:after="0"/>
              <w:ind w:left="0" w:right="0" w:hanging="0"/>
              <w:jc w:val="left"/>
              <w:rPr>
                <w:caps w:val="false"/>
                <w:smallCaps w:val="false"/>
              </w:rPr>
            </w:pPr>
            <w:r>
              <w:rPr>
                <w:caps w:val="false"/>
                <w:smallCaps w:val="false"/>
              </w:rPr>
              <w:t> </w:t>
            </w:r>
          </w:p>
        </w:tc>
        <w:tc>
          <w:tcPr>
            <w:tcW w:w="4722"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details for delivering notifications, requests, instructions, all documents and any other type of communication between the Parties are, as follows: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Client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Kung Lok CHIU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Contractor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Vesna Prodanovic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 change of contact details referred to in the previous paragraph, the Party whose contact details have been changed is obliged to inform the other Party regarding such change the next Business Day the latest.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deemed that the notification and any other type of communication has been delivered to the other Party: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case of delivery by registered mail or courier, in the moment of singing the delivery receipt, or</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case of sending by e-mail, in the moment when the subject e-mail message appears in the inbox (received) folder of the e-mail recipient.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delivery in the manner referred to in the previous paragraph occurs after 05.00pm during a Business Day, or during the day considered as a non-business day in accordance with the Applicable laws, it shall be deemed to be received on the first next Business Day at 09.00am.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007"/>
        <w:gridCol w:w="5198"/>
      </w:tblGrid>
      <w:tr>
        <w:trPr/>
        <w:tc>
          <w:tcPr>
            <w:tcW w:w="500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NEZAVISNOST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37.</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Nepunova&amp;zcaron;nost jedne ili više odredaba ovog Ugovora ne&amp;cacute;e uticati na punova&amp;zcaron;nost ostalih odredaba i samog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Svaka od obaveza iz ovog Ugovora &amp;cacute;e se tretirati kao posebna obaveza i bi&amp;cacute;e kao takva nezavisno izvršiva u slu&amp;ccaron;aju da bilo koja obaveza ili obaveze postanu neizvršive u celosti ili delimi&amp;ccaron;no. U obimu u kom su bilo koja odredba ili odredbe ovog Ugovora neizvršive, smatra&amp;cacute;e se da su iste uklonjene iz ovog Ugovora i takvo uklanjanje ne&amp;cacute;e biti od uticaja na izvršivost preostalog dela Ugovora pod uslovom da bitni elementi ovog Ugovora ostaju neizmenjene.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ZAVRŠNE ODREDBE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38.</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Ovaj Ugovor je sa&amp;ccaron;injen u dva istovetna dvojezi&amp;ccaron;na primerka na engleskom i srpskom jeziku, po jedan primerak za svaku Ugovornu stranu.</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slu&amp;ccaron;aju nesaglasnosti izme&amp;dstrok;u verzija ovog Ugovora na engleskom i srpskom jeziku, verzija Ugovora na srpskom jeziku smatra&amp;cacute;e se preovla&amp;dstrok;uju&amp;cacute;om.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39.</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Ovaj Ugovor predstavlja potpuni dogovor izme&amp;dstrok;u Ugovornih strana u pogledu njegovog predmeta i ima prednost u odnosu na sve prethodne dogovore u vezi sa predmetom ovog Ugovora, bilo usmene ili pisane.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40.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Sve izmene ovog Ugovora bi&amp;cacute;e punova&amp;zcaron;ne samo ukoliko su sa&amp;ccaron;injene u pisanoj formi i propisno potpisane od strane Ugovornih strana. </w:t>
            </w:r>
          </w:p>
        </w:tc>
        <w:tc>
          <w:tcPr>
            <w:tcW w:w="5198"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SEVERABILITY</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37.</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invalidity of one or more provisions of this Contract shall not affect the validity of the other provisions and the Contract itself.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and every obligation under this Contract shall be treated as a separate obligation and shall be severally enforceable as such in the event of any obligation or obligations being or becoming unenforceable in whole or in part. To the extent that any provision or provisions of this Contract are unenforceable they shall be deemed to be deleted from this Contract and any such deletion shall not affect the enforceability of the remaining part of this Contract provided that the fundamental terms of this Contract are not altered.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REGULATIONS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38.</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is made in two identical bilingual copies in English and Serbian language, one copy for each Party.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discrepancy between the English and Serbian version of this Contract, the Serbian version of the Contract shall prevail.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constitutes the whole agreement between the Parties relating to the subject matter hereof and supersedes any prior arrangements whether oral or written, relating to such subject matter.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1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amendments to this Contract shall be valid only if made in writing and duly signed by both Parties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0" w:type="dxa"/>
          <w:left w:w="100" w:type="dxa"/>
          <w:bottom w:w="28" w:type="dxa"/>
          <w:right w:w="100" w:type="dxa"/>
        </w:tblCellMar>
      </w:tblPr>
      <w:tblGrid>
        <w:gridCol w:w="5046"/>
        <w:gridCol w:w="5159"/>
      </w:tblGrid>
      <w:tr>
        <w:trPr/>
        <w:tc>
          <w:tcPr>
            <w:tcW w:w="504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Bilo koji datum ili period naveden u bilo kojem delu ovog Ugovora mo&amp;zcaron;e biti produ&amp;zcaron;en pisanim sporazumom Ugovornih strana.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&amp;Ccaron;lan 41.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Svaka od Ugovornih strana &amp;cacute;e snositi svoje troškove nastale prilikom pripreme ovog Ugovora.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KAO POTVRDU NAVEDENOG, ovlaš&amp;cacute;eni predstavnici Strana potpisuju ovaj Ugovor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IZVO&amp;Dstrok;A&amp;Ccaron; /CONTRACTOR: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Vesna Prodanovi&amp;cacute;</w:t>
              <w:tab/>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/Direktor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tab/>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Dragan Brki&amp;cacute;</w:t>
              <w:tab/>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/Direktor</w:t>
              <w:tab/>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tab/>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Ognjen Kisin</w:t>
              <w:tab/>
            </w:r>
          </w:p>
          <w:p>
            <w:pPr>
              <w:pStyle w:val="TableContents"/>
              <w:bidi w:val="0"/>
              <w:spacing w:before="0" w:after="1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Countersignature /Supotpisnik</w:t>
            </w:r>
          </w:p>
        </w:tc>
        <w:tc>
          <w:tcPr>
            <w:tcW w:w="5159"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date or period as set out in any part of this Contract may be extended with the written consent of the Parties failing which time shall be of the essence.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bear its own expenses incurred in preparing this Contract.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authorized representatives of the Parties shall sign this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NARU&amp;Ccaron;ILAC/ CLIENT: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Kung Lok CHIU</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Director/Direktor</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9" w:name="ea029738501ex4-13.htm"/>
      <w:bookmarkStart w:id="50" w:name="ksea029738501ex413"/>
      <w:bookmarkEnd w:id="49"/>
      <w:bookmarkEnd w:id="50"/>
      <w:r>
        <w:rPr>
          <w:b/>
        </w:rPr>
        <w:t>Exhibit 4.13</w:t>
      </w:r>
      <w:r>
        <w:br w:type="page"/>
      </w:r>
    </w:p>
    <w:p>
      <w:pPr>
        <w:pStyle w:val="TextBody"/>
        <w:bidi w:val="0"/>
        <w:spacing w:before="0" w:after="283"/>
        <w:jc w:val="left"/>
        <w:rPr/>
      </w:pPr>
      <w:r>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市场发展与业务拓展协议</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Development and Business Expansion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一、合同双方（</w:t>
      </w:r>
      <w:r>
        <w:rPr>
          <w:rFonts w:ascii="Times New Roman;Times;Serif" w:hAnsi="Times New Roman;Times;Serif"/>
          <w:b w:val="false"/>
          <w:i w:val="false"/>
          <w:caps w:val="false"/>
          <w:smallCaps w:val="false"/>
          <w:sz w:val="20"/>
        </w:rPr>
        <w:t>Parties</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甲方（委托方 </w:t>
      </w:r>
      <w:r>
        <w:rPr>
          <w:rFonts w:ascii="Times New Roman;Times;Serif" w:hAnsi="Times New Roman;Times;Serif"/>
          <w:b w:val="false"/>
          <w:i w:val="false"/>
          <w:caps w:val="false"/>
          <w:smallCaps w:val="false"/>
          <w:sz w:val="20"/>
        </w:rPr>
        <w:t>/ Client</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CCSC Technology International Holdings Limited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地址：</w:t>
      </w:r>
      <w:r>
        <w:rPr>
          <w:rFonts w:ascii="Times New Roman;Times;Serif" w:hAnsi="Times New Roman;Times;Serif"/>
          <w:b w:val="false"/>
          <w:i w:val="false"/>
          <w:caps w:val="false"/>
          <w:smallCaps w:val="false"/>
          <w:sz w:val="20"/>
        </w:rPr>
        <w:t>301-03, 13/F Shatin Galleria, 18-24 Shan Mei Street, Fotan, Shatin,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（以下简称“甲方”）</w:t>
      </w:r>
      <w:r>
        <w:rPr>
          <w:rFonts w:ascii="Times New Roman;Times;Serif" w:hAnsi="Times New Roman;Times;Serif"/>
          <w:b w:val="false"/>
          <w:i w:val="false"/>
          <w:caps w:val="false"/>
          <w:smallCaps w:val="false"/>
          <w:sz w:val="20"/>
        </w:rPr>
        <w:t>(hereinafter referred to as the “Client”)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乙方（受托方 </w:t>
      </w:r>
      <w:r>
        <w:rPr>
          <w:rFonts w:ascii="Times New Roman;Times;Serif" w:hAnsi="Times New Roman;Times;Serif"/>
          <w:b w:val="false"/>
          <w:i w:val="false"/>
          <w:caps w:val="false"/>
          <w:smallCaps w:val="false"/>
          <w:sz w:val="20"/>
        </w:rPr>
        <w:t>/ Service Provider</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Jeddah Fung Trading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地址：</w:t>
      </w:r>
      <w:r>
        <w:rPr>
          <w:rFonts w:ascii="Times New Roman;Times;Serif" w:hAnsi="Times New Roman;Times;Serif"/>
          <w:b w:val="false"/>
          <w:i w:val="false"/>
          <w:caps w:val="false"/>
          <w:smallCaps w:val="false"/>
          <w:sz w:val="20"/>
        </w:rPr>
        <w:t>18/F, V Heun Building, 138 Queen’s Road Central, Central,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（以下简称“乙方”）</w:t>
      </w:r>
      <w:r>
        <w:rPr>
          <w:rFonts w:ascii="Times New Roman;Times;Serif" w:hAnsi="Times New Roman;Times;Serif"/>
          <w:b w:val="false"/>
          <w:i w:val="false"/>
          <w:caps w:val="false"/>
          <w:smallCaps w:val="false"/>
          <w:sz w:val="20"/>
        </w:rPr>
        <w:t>(hereinafter referred to as the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二、合同背景与目的（</w:t>
      </w:r>
      <w:r>
        <w:rPr>
          <w:rFonts w:ascii="Times New Roman;Times;Serif" w:hAnsi="Times New Roman;Times;Serif"/>
          <w:b w:val="false"/>
          <w:i w:val="false"/>
          <w:caps w:val="false"/>
          <w:smallCaps w:val="false"/>
          <w:sz w:val="20"/>
        </w:rPr>
        <w:t>Recitals</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鉴于：</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甲方为一家在美国纳斯达克交易所上市的公司（股票代码：</w:t>
      </w:r>
      <w:r>
        <w:rPr>
          <w:rFonts w:ascii="Times New Roman;Times;Serif" w:hAnsi="Times New Roman;Times;Serif"/>
          <w:b w:val="false"/>
          <w:i w:val="false"/>
          <w:caps w:val="false"/>
          <w:smallCaps w:val="false"/>
          <w:sz w:val="20"/>
        </w:rPr>
        <w:t>CCTG</w:t>
      </w:r>
      <w:r>
        <w:rPr>
          <w:rFonts w:eastAsia="Times New Roman;Times;Serif"/>
          <w:b w:val="false"/>
          <w:i w:val="false"/>
          <w:caps w:val="false"/>
          <w:smallCaps w:val="false"/>
          <w:sz w:val="20"/>
        </w:rPr>
        <w:t>），其子公司主要从事电子连接器、工业自动化组件及定制化线缆系统的研发、制造与销售；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Client is a company listed on the Nasdaq Stock Exchange (stock code: CCTG), primarily engaged in the research, development, manufacturing and sales of electronic connectors, industrial automation components and customized cable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乙方熟悉东南亚市场（包括但不限于新加坡、马来西亚、泰国、越南、印尼及菲律宾等国），并具备丰富的本地分销及项目开发经验；</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Service Provider is familiar with the Southeast Asian market (including but not limited to Singapore, Malaysia, Thailand, Vietnam, Indonesia and the Philippines) and possesses extensive experience in local distribution and project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双方希望通过合作推动甲方产品与解决方案在东南亚地区的市场开拓与客户拓展。</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wish to collaborate to promote the market penetration and customer expansion of the Client’s products and solutions in the Southeast Asian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因此，双方同意签署本《市场发展与业务拓展协议》（以下简称“本协议”）。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 Parties agree to enter into this Market Development and Business Expansion Agreement (hereinafter referred to as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三、合作范围（</w:t>
      </w:r>
      <w:r>
        <w:rPr>
          <w:rFonts w:ascii="Times New Roman;Times;Serif" w:hAnsi="Times New Roman;Times;Serif"/>
          <w:b w:val="false"/>
          <w:i w:val="false"/>
          <w:caps w:val="false"/>
          <w:smallCaps w:val="false"/>
          <w:sz w:val="20"/>
        </w:rPr>
        <w:t>Scope of Cooperation</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市场开发区域：东南亚（包括新加坡、马来西亚、泰国、越南、印尼、菲律宾等）。</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Development Region: Southeast Asia (including Singapore, Malaysia, Thailand, Vietnam, Indonesia, Philippines,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乙方职责（</w:t>
      </w:r>
      <w:r>
        <w:rPr>
          <w:rFonts w:ascii="Times New Roman;Times;Serif" w:hAnsi="Times New Roman;Times;Serif"/>
          <w:b w:val="false"/>
          <w:i w:val="false"/>
          <w:caps w:val="false"/>
          <w:smallCaps w:val="false"/>
          <w:sz w:val="20"/>
        </w:rPr>
        <w:t>Service Provider’s Obligations</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进行市场调研，收集并分析当地潜在客户、行业趋势及竞争对手信息，并于每季度结束时提交书面报告；</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Conduct market research, collect and analyze information on local potential customers, industry trends and competitors, and submit a written report at the end of each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协助甲方建立渠道合作伙伴关系，包括分销商、</w:t>
      </w:r>
      <w:r>
        <w:rPr>
          <w:rFonts w:ascii="Times New Roman;Times;Serif" w:hAnsi="Times New Roman;Times;Serif"/>
          <w:b w:val="false"/>
          <w:i w:val="false"/>
          <w:caps w:val="false"/>
          <w:smallCaps w:val="false"/>
          <w:sz w:val="20"/>
        </w:rPr>
        <w:t>OEM</w:t>
      </w:r>
      <w:r>
        <w:rPr>
          <w:rFonts w:eastAsia="Times New Roman;Times;Serif"/>
          <w:b w:val="false"/>
          <w:i w:val="false"/>
          <w:caps w:val="false"/>
          <w:smallCaps w:val="false"/>
          <w:sz w:val="20"/>
        </w:rPr>
        <w:t>厂商、系统集成商等，并提供至少</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个潜在合作伙伴名单；</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Assist the Client in establishing channel partnerships, including distributors, OEM manufacturers, system integrators, etc., and provide a list of at least 3 potential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(c) </w:t>
      </w:r>
      <w:r>
        <w:rPr>
          <w:rFonts w:eastAsia="Times New Roman;Times;Serif"/>
          <w:b w:val="false"/>
          <w:i w:val="false"/>
          <w:caps w:val="false"/>
          <w:smallCaps w:val="false"/>
          <w:sz w:val="20"/>
        </w:rPr>
        <w:t>代表甲方推广产品，参与行业展会、技术研讨会及客户拜访，每季度至少完成</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次活动；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Promote the Client’s products on its behalf, participate in industry exhibitions, technical seminars and customer visits, completing at least 5 activities per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(d) </w:t>
      </w:r>
      <w:r>
        <w:rPr>
          <w:rFonts w:eastAsia="Times New Roman;Times;Serif"/>
          <w:b w:val="false"/>
          <w:i w:val="false"/>
          <w:caps w:val="false"/>
          <w:smallCaps w:val="false"/>
          <w:sz w:val="20"/>
        </w:rPr>
        <w:t>协助甲方谈判、促成销售合同或项目合作，并提供谈判记录；</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Assist the Client in negotiations to facilitate sales contracts or project collaborations, and provide negotiation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(e) </w:t>
      </w:r>
      <w:r>
        <w:rPr>
          <w:rFonts w:eastAsia="Times New Roman;Times;Serif"/>
          <w:b w:val="false"/>
          <w:i w:val="false"/>
          <w:caps w:val="false"/>
          <w:smallCaps w:val="false"/>
          <w:sz w:val="20"/>
        </w:rPr>
        <w:t>为甲方提供市场进入策略建议及本地法规合规意见，包括反腐败及数据保护要求；</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Provide the Client with market entry strategy recommendations and local regulatory compliance advice, including anti-corruption and data protection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(f) </w:t>
      </w:r>
      <w:r>
        <w:rPr>
          <w:rFonts w:eastAsia="Times New Roman;Times;Serif"/>
          <w:b w:val="false"/>
          <w:i w:val="false"/>
          <w:caps w:val="false"/>
          <w:smallCaps w:val="false"/>
          <w:sz w:val="20"/>
        </w:rPr>
        <w:t>在经甲方书面批准的情况下，可代表甲方使用甲方品牌或商标进行市场推广活动，并遵守甲方品牌指南。</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Client’s prior written approval, represent the Client in using the Client’s brand or trademarks for marketing activities, in compliance with the Client’s brand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甲方职责（</w:t>
      </w:r>
      <w:r>
        <w:rPr>
          <w:rFonts w:ascii="Times New Roman;Times;Serif" w:hAnsi="Times New Roman;Times;Serif"/>
          <w:b w:val="false"/>
          <w:i w:val="false"/>
          <w:caps w:val="false"/>
          <w:smallCaps w:val="false"/>
          <w:sz w:val="20"/>
        </w:rPr>
        <w:t>Client’s Obligations</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向乙方提供必要的产品资料、技术支持及培训，包括在线或现场培训不少于</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次；</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 the Service Provider with necessary product materials, technical support and training, including at least 2 sessions of online or on-site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配合乙方市场活动并提供样品或演示设备，费用由甲方承担；</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Cooperate with the Service Provider’s marketing activities and provide samples or demonstration equipment, with costs borne by the Client;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(c) </w:t>
      </w:r>
      <w:r>
        <w:rPr>
          <w:rFonts w:eastAsia="Times New Roman;Times;Serif"/>
          <w:b w:val="false"/>
          <w:i w:val="false"/>
          <w:caps w:val="false"/>
          <w:smallCaps w:val="false"/>
          <w:sz w:val="20"/>
        </w:rPr>
        <w:t>依据双方约定支付相关服务费用或佣金，并及时审核乙方提交的报告及发票。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 relevant service fees or commissions as agreed, and promptly review reports and invoices submitted by the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四、服务报酬与结算（</w:t>
      </w:r>
      <w:r>
        <w:rPr>
          <w:rFonts w:ascii="Times New Roman;Times;Serif" w:hAnsi="Times New Roman;Times;Serif"/>
          <w:b w:val="false"/>
          <w:i w:val="false"/>
          <w:caps w:val="false"/>
          <w:smallCaps w:val="false"/>
          <w:sz w:val="20"/>
        </w:rPr>
        <w:t>Service Remuneration and Settlement</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4.1 </w:t>
      </w:r>
      <w:r>
        <w:rPr>
          <w:rFonts w:eastAsia="Times New Roman;Times;Serif"/>
          <w:b w:val="false"/>
          <w:i w:val="false"/>
          <w:caps w:val="false"/>
          <w:smallCaps w:val="false"/>
          <w:sz w:val="20"/>
        </w:rPr>
        <w:t>总报酬（</w:t>
      </w:r>
      <w:r>
        <w:rPr>
          <w:rFonts w:ascii="Times New Roman;Times;Serif" w:hAnsi="Times New Roman;Times;Serif"/>
          <w:b w:val="false"/>
          <w:i w:val="false"/>
          <w:caps w:val="false"/>
          <w:smallCaps w:val="false"/>
          <w:sz w:val="20"/>
        </w:rPr>
        <w:t>Total Remuneration</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甲方同意支付总计 一百二十万美元（</w:t>
      </w:r>
      <w:r>
        <w:rPr>
          <w:rFonts w:ascii="Times New Roman;Times;Serif" w:hAnsi="Times New Roman;Times;Serif"/>
          <w:b w:val="false"/>
          <w:i w:val="false"/>
          <w:caps w:val="false"/>
          <w:smallCaps w:val="false"/>
          <w:sz w:val="20"/>
        </w:rPr>
        <w:t>USD 1,200,000</w:t>
      </w:r>
      <w:r>
        <w:rPr>
          <w:rFonts w:eastAsia="Times New Roman;Times;Serif"/>
          <w:b w:val="false"/>
          <w:i w:val="false"/>
          <w:caps w:val="false"/>
          <w:smallCaps w:val="false"/>
          <w:sz w:val="20"/>
        </w:rPr>
        <w:t>） 作为对乙方在本协议项下提供服务的报酬（以下简称“总报酬”）。</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该总报酬为固定金额，已包含乙方在履行本协议项下所有义务与服务的对价，不另行支付任何佣金、奖金、差旅费或其他支出补偿。</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甲方不承担任何额外税费、垫付或第三方费用，除非双方另行书面约定。</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The Company (Party A) agrees to pay a total remuneration of US Dollars One Million Two Hundred Thousand (USD 1,200,000) to the Contractor (Party B) as full consideration for the services rendered under this Agreement (the “Total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Remuneration shall be a fixed and all-inclusive amount, covering all work, time, costs, and expenses incurred by Party B in performing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commission, reimbursement, or tax compensation shall be payable unless expressly agreed in writing by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4.2 </w:t>
      </w:r>
      <w:r>
        <w:rPr>
          <w:rFonts w:eastAsia="Times New Roman;Times;Serif"/>
          <w:b w:val="false"/>
          <w:i w:val="false"/>
          <w:caps w:val="false"/>
          <w:smallCaps w:val="false"/>
          <w:sz w:val="20"/>
        </w:rPr>
        <w:t>支付方式（</w:t>
      </w:r>
      <w:r>
        <w:rPr>
          <w:rFonts w:ascii="Times New Roman;Times;Serif" w:hAnsi="Times New Roman;Times;Serif"/>
          <w:b w:val="false"/>
          <w:i w:val="false"/>
          <w:caps w:val="false"/>
          <w:smallCaps w:val="false"/>
          <w:sz w:val="20"/>
        </w:rPr>
        <w:t>Payment Method</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所有款项均以美元（</w:t>
      </w:r>
      <w:r>
        <w:rPr>
          <w:rFonts w:ascii="Times New Roman;Times;Serif" w:hAnsi="Times New Roman;Times;Serif"/>
          <w:b w:val="false"/>
          <w:i w:val="false"/>
          <w:caps w:val="false"/>
          <w:smallCaps w:val="false"/>
          <w:sz w:val="20"/>
        </w:rPr>
        <w:t>USD</w:t>
      </w:r>
      <w:r>
        <w:rPr>
          <w:rFonts w:eastAsia="Times New Roman;Times;Serif"/>
          <w:b w:val="false"/>
          <w:i w:val="false"/>
          <w:caps w:val="false"/>
          <w:smallCaps w:val="false"/>
          <w:sz w:val="20"/>
        </w:rPr>
        <w:t>）通过银行转账支付至乙方指定账户。乙方应在签署本协议时提供完整银行账户信息。任何银行手续费由乙方自行承担。</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All payments shall be made in United States Dollars (USD) via bank wire transfer to the bank account designated by Party B upon signing this Agreement. All bank charges shall be borne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五、期限与终止（</w:t>
      </w:r>
      <w:r>
        <w:rPr>
          <w:rFonts w:ascii="Times New Roman;Times;Serif" w:hAnsi="Times New Roman;Times;Serif"/>
          <w:b w:val="false"/>
          <w:i w:val="false"/>
          <w:caps w:val="false"/>
          <w:smallCaps w:val="false"/>
          <w:sz w:val="20"/>
        </w:rPr>
        <w:t>Term and Termination</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本协议自签署之日起生效，有效期为</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个月，可自动续期</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个月，除非任一方提前</w:t>
      </w:r>
      <w:r>
        <w:rPr>
          <w:rFonts w:ascii="Times New Roman;Times;Serif" w:hAnsi="Times New Roman;Times;Serif"/>
          <w:b w:val="false"/>
          <w:i w:val="false"/>
          <w:caps w:val="false"/>
          <w:smallCaps w:val="false"/>
          <w:sz w:val="20"/>
        </w:rPr>
        <w:t>60</w:t>
      </w:r>
      <w:r>
        <w:rPr>
          <w:rFonts w:eastAsia="Times New Roman;Times;Serif"/>
          <w:b w:val="false"/>
          <w:i w:val="false"/>
          <w:caps w:val="false"/>
          <w:smallCaps w:val="false"/>
          <w:sz w:val="20"/>
        </w:rPr>
        <w:t>日书面通知不续期。</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This Agreement shall commence upon execution and have a term of 12 months, automatically renewable for another 12 months unless either Party gives 60 days’ prior written notice of non-renewal.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若乙方严重违反协议义务（包括但不限于损害甲方声誉、泄露商业秘密、从事竞争行为或未达到季度最低活动要求），甲方有权即时解除本协议，并要求乙方赔偿直接损失（包括但不限于已支付费用及机会成本）。乙方亦可于甲方严重违约（如未支付费用）时终止。</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If the Service Provider materially breaches this Agreement (including but not limited to damaging the Client’s reputation, disclosing trade secrets, engaging in competitive activities or failing to meet quarterly minimum activity requirements), the Client may terminate immediately and require the Service Provider to compensate for direct losses (including but not limited to paid fees and opportunity costs). The Service Provider may also terminate upon the Client’s material breach (e.g., non-payment of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终止后，乙方须返还所有甲方资料，并结算已完成服务费用。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Post-Termination: Upon termination, the Service Provider shall return all Client materials and settle fees for completed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六、知识产权与保密（</w:t>
      </w:r>
      <w:r>
        <w:rPr>
          <w:rFonts w:ascii="Times New Roman;Times;Serif" w:hAnsi="Times New Roman;Times;Serif"/>
          <w:b w:val="false"/>
          <w:i w:val="false"/>
          <w:caps w:val="false"/>
          <w:smallCaps w:val="false"/>
          <w:sz w:val="20"/>
        </w:rPr>
        <w:t>Intellectual Property and Confidentiality</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乙方在推广过程中使用的甲方商标、技术资料及营销材料的知识产权归甲方所有。乙方不得修改或独立使用此类材料。</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All intellectual property rights in the Client’s trademarks, technical materials and marketing materials used by the Service Provider in promotion shall vest in the Client. The Service Provider shall not modify or use such materials independently.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乙方须对甲方提供的所有商业、技术及财务信息（定义为“保密信息”，包括客户名单、定价策略及未公开财务数据）予以严格保密，未经甲方书面同意不得向第三方披露。乙方须实施合理安全措施保护保密信息，符合香港《个人资料（私隐）条例》及东南亚相关数据保护法。</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The Service Provider shall keep strictly confidential all commercial, technical and financial information provided by the Client (defined as “Confidential Information”, including customer lists, pricing strategies and undisclosed financial data) and shall not disclose it to any third party without the Client’s prior written consent. The Service Provider shall implement reasonable security measures to protect the Confidential Information, in compliance with the Hong Kong Personal Data (Privacy) Ordinance and relevant data protection laws in Southeast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保密义务在本协议终止后持续三年。违约方须赔偿对方全部损失，包括合理律师费。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 The confidentiality obligation shall survive for three years after termination of this Agreement. The breaching Party shall indemnify the other for all losses, including reasonable legal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七、独立承包关系（</w:t>
      </w:r>
      <w:r>
        <w:rPr>
          <w:rFonts w:ascii="Times New Roman;Times;Serif" w:hAnsi="Times New Roman;Times;Serif"/>
          <w:b w:val="false"/>
          <w:i w:val="false"/>
          <w:caps w:val="false"/>
          <w:smallCaps w:val="false"/>
          <w:sz w:val="20"/>
        </w:rPr>
        <w:t>Independent Contractor Relationship</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乙方为独立承包商，不构成甲方雇员、代理或合资关系。乙方无权代表甲方签署任何具有法律约束力的文件，除非获得书面授权。乙方须自行承担税费及社会保障责任。</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Contractor: The Service Provider is an independent contractor and does not constitute an employee, agent or joint venture of the Client. The Service Provider has no authority to bind the Client to any legally binding documents unless expressly authorized in writing. The Service Provider shall bear its own taxes and social security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八、反贿赂与合规（</w:t>
      </w:r>
      <w:r>
        <w:rPr>
          <w:rFonts w:ascii="Times New Roman;Times;Serif" w:hAnsi="Times New Roman;Times;Serif"/>
          <w:b w:val="false"/>
          <w:i w:val="false"/>
          <w:caps w:val="false"/>
          <w:smallCaps w:val="false"/>
          <w:sz w:val="20"/>
        </w:rPr>
        <w:t>Anti-Bribery and Compliance</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双方同意遵守香港《防止贿赂条例》、美国《外国腐败行为法》（</w:t>
      </w:r>
      <w:r>
        <w:rPr>
          <w:rFonts w:ascii="Times New Roman;Times;Serif" w:hAnsi="Times New Roman;Times;Serif"/>
          <w:b w:val="false"/>
          <w:i w:val="false"/>
          <w:caps w:val="false"/>
          <w:smallCaps w:val="false"/>
          <w:sz w:val="20"/>
        </w:rPr>
        <w:t>FCPA</w:t>
      </w:r>
      <w:r>
        <w:rPr>
          <w:rFonts w:eastAsia="Times New Roman;Times;Serif"/>
          <w:b w:val="false"/>
          <w:i w:val="false"/>
          <w:caps w:val="false"/>
          <w:smallCaps w:val="false"/>
          <w:sz w:val="20"/>
        </w:rPr>
        <w:t>）及东南亚反腐败法，不得从事任何形式的贿赂或不当影响活动。乙方须每年提交合规声明。</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Anti-Bribery and Compliance: The Parties agree to comply with the Hong Kong Prevention of Bribery Ordinance, the U.S. Foreign Corrupt Practices Act (FCPA) and anti-corruption laws in Southeast Asia, and shall not engage in any form of bribery or improper influence activities. The Service Provider shall submit an annual compliance declaration.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九、不可抗力（</w:t>
      </w:r>
      <w:r>
        <w:rPr>
          <w:rFonts w:ascii="Times New Roman;Times;Serif" w:hAnsi="Times New Roman;Times;Serif"/>
          <w:b w:val="false"/>
          <w:i w:val="false"/>
          <w:caps w:val="false"/>
          <w:smallCaps w:val="false"/>
          <w:sz w:val="20"/>
        </w:rPr>
        <w:t>Force Majeure</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若因地震、战争、疫情或政府管制等不可抗力事件导致无法履行，免除责任，但须及时书面通知对方并努力减轻影响。</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 Neither Party shall be liable for failure to perform due to events of force majeure (e.g., earthquakes, wars, pandemics or government restrictions) beyond reasonable control, provided prompt written notice is given and efforts are made to mitigate the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十、通知（</w:t>
      </w:r>
      <w:r>
        <w:rPr>
          <w:rFonts w:ascii="Times New Roman;Times;Serif" w:hAnsi="Times New Roman;Times;Serif"/>
          <w:b w:val="false"/>
          <w:i w:val="false"/>
          <w:caps w:val="false"/>
          <w:smallCaps w:val="false"/>
          <w:sz w:val="20"/>
        </w:rPr>
        <w:t>Notices</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所有通知须以书面形式（包括电邮）送达本协议列明的地址。</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All notices shall be in writing (including email) and delivered to the addresses specified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十一、适用法律与争议解决（</w:t>
      </w:r>
      <w:r>
        <w:rPr>
          <w:rFonts w:ascii="Times New Roman;Times;Serif" w:hAnsi="Times New Roman;Times;Serif"/>
          <w:b w:val="false"/>
          <w:i w:val="false"/>
          <w:caps w:val="false"/>
          <w:smallCaps w:val="false"/>
          <w:sz w:val="20"/>
        </w:rPr>
        <w:t>Governing Law and Dispute Resolution</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本协议受香港特别行政区法律管辖并依其解释。</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This Agreement shall be governed by and construed in accordance with the laws of the Hong Kong Special Administrative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因本协议引起的或与之相关的争议，双方应首先友好协商解决；协商不成的，任何一方可提交香港国际仲裁中心（</w:t>
      </w:r>
      <w:r>
        <w:rPr>
          <w:rFonts w:ascii="Times New Roman;Times;Serif" w:hAnsi="Times New Roman;Times;Serif"/>
          <w:b w:val="false"/>
          <w:i w:val="false"/>
          <w:caps w:val="false"/>
          <w:smallCaps w:val="false"/>
          <w:sz w:val="20"/>
        </w:rPr>
        <w:t>HKIAC</w:t>
      </w:r>
      <w:r>
        <w:rPr>
          <w:rFonts w:eastAsia="Times New Roman;Times;Serif"/>
          <w:b w:val="false"/>
          <w:i w:val="false"/>
          <w:caps w:val="false"/>
          <w:smallCaps w:val="false"/>
          <w:sz w:val="20"/>
        </w:rPr>
        <w:t>）按其现行仲裁规则进行仲裁，仲裁席位为香港，仲裁语言为英语，仲裁裁决为终局的，对双方有约束力。</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 Resolution: Any dispute arising out of or in connection with this Agreement shall first be resolved through amicable negotiation; if unsuccessful, either Party may submit the dispute to the Hong Kong International Arbitration Centre (HKIAC) for arbitration under its current rules, with the seat of arbitration in Hong Kong, the language in English. The arbitral award shall be final and binding on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十二、其他条款（</w:t>
      </w:r>
      <w:r>
        <w:rPr>
          <w:rFonts w:ascii="Times New Roman;Times;Serif" w:hAnsi="Times New Roman;Times;Serif"/>
          <w:b w:val="false"/>
          <w:i w:val="false"/>
          <w:caps w:val="false"/>
          <w:smallCaps w:val="false"/>
          <w:sz w:val="20"/>
        </w:rPr>
        <w:t>Miscellaneous</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12.1 </w:t>
      </w:r>
      <w:r>
        <w:rPr>
          <w:rFonts w:eastAsia="Times New Roman;Times;Serif"/>
          <w:b w:val="false"/>
          <w:i w:val="false"/>
          <w:caps w:val="false"/>
          <w:smallCaps w:val="false"/>
          <w:sz w:val="20"/>
        </w:rPr>
        <w:t>本协议构成双方完整协议，取代此前所有书面或口头协商。</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Entire Agreement: This Agreement constitutes the entire agreement between the Parties and supersedes all prior written or oral understandings.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12.2 </w:t>
      </w:r>
      <w:r>
        <w:rPr>
          <w:rFonts w:eastAsia="Times New Roman;Times;Serif"/>
          <w:b w:val="false"/>
          <w:i w:val="false"/>
          <w:caps w:val="false"/>
          <w:smallCaps w:val="false"/>
          <w:sz w:val="20"/>
        </w:rPr>
        <w:t>任何修改须经双方书面签署方为有效。</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Amendments: Any amendment must be in writing and signed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12.3 </w:t>
      </w:r>
      <w:r>
        <w:rPr>
          <w:rFonts w:eastAsia="Times New Roman;Times;Serif"/>
          <w:b w:val="false"/>
          <w:i w:val="false"/>
          <w:caps w:val="false"/>
          <w:smallCaps w:val="false"/>
          <w:sz w:val="20"/>
        </w:rPr>
        <w:t>本协议可通过电子方式签署，具有同等法律效力。</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Electronic Signature: This Agreement may be executed electronically and shall have the same legal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12.4 </w:t>
      </w:r>
      <w:r>
        <w:rPr>
          <w:rFonts w:eastAsia="Times New Roman;Times;Serif"/>
          <w:b w:val="false"/>
          <w:i w:val="false"/>
          <w:caps w:val="false"/>
          <w:smallCaps w:val="false"/>
          <w:sz w:val="20"/>
        </w:rPr>
        <w:t>若任何条款无效，其余条款继续有效。</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Severability: If any provision is invalid, the remainder shall continue in full 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12.5 </w:t>
      </w:r>
      <w:r>
        <w:rPr>
          <w:rFonts w:eastAsia="Times New Roman;Times;Serif"/>
          <w:b w:val="false"/>
          <w:i w:val="false"/>
          <w:caps w:val="false"/>
          <w:smallCaps w:val="false"/>
          <w:sz w:val="20"/>
        </w:rPr>
        <w:t>本协议一式两份，双方各执一份，具有同等效力。</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This Agreement is executed in duplicate, with each Party holding one original of equal validity.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签署页（</w:t>
      </w:r>
      <w:r>
        <w:rPr>
          <w:rFonts w:ascii="Times New Roman;Times;Serif" w:hAnsi="Times New Roman;Times;Serif"/>
          <w:b w:val="false"/>
          <w:i w:val="false"/>
          <w:caps w:val="false"/>
          <w:smallCaps w:val="false"/>
          <w:sz w:val="20"/>
        </w:rPr>
        <w:t>Execution Page</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甲方（</w:t>
      </w:r>
      <w:r>
        <w:rPr>
          <w:rFonts w:ascii="Times New Roman;Times;Serif" w:hAnsi="Times New Roman;Times;Serif"/>
          <w:b w:val="false"/>
          <w:i w:val="false"/>
          <w:caps w:val="false"/>
          <w:smallCaps w:val="false"/>
          <w:sz w:val="20"/>
        </w:rPr>
        <w:t>Client</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CCSC Technology International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Chiu Kung Lok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8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乙方（</w:t>
      </w:r>
      <w:r>
        <w:rPr>
          <w:rFonts w:ascii="Times New Roman;Times;Serif" w:hAnsi="Times New Roman;Times;Serif"/>
          <w:b w:val="false"/>
          <w:i w:val="false"/>
          <w:caps w:val="false"/>
          <w:smallCaps w:val="false"/>
          <w:sz w:val="20"/>
        </w:rPr>
        <w:t>Service Provider</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Jeddah Fung Trading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29738501ex12-1.htm"/>
      <w:bookmarkStart w:id="52" w:name="ksea029738501ex121"/>
      <w:bookmarkEnd w:id="51"/>
      <w:bookmarkEnd w:id="52"/>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EXECUTIVE OFFICER PURSUANT TO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Kung Lok Chiu,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1.</w:t>
            </w:r>
          </w:p>
        </w:tc>
        <w:tc>
          <w:tcPr>
            <w:tcW w:w="9999" w:type="dxa"/>
            <w:tcBorders/>
            <w:vAlign w:val="center"/>
          </w:tcPr>
          <w:p>
            <w:pPr>
              <w:pStyle w:val="TableContents"/>
              <w:bidi w:val="0"/>
              <w:spacing w:before="0" w:after="283"/>
              <w:jc w:val="both"/>
              <w:rPr/>
            </w:pPr>
            <w:r>
              <w:rPr/>
              <w:t>I have reviewed this annual report on Form 20-F of CCSC Technology International Holdings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both"/>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both"/>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both"/>
              <w:rPr/>
            </w:pPr>
            <w:r>
              <w:rPr/>
              <w:t>4.</w:t>
            </w:r>
          </w:p>
        </w:tc>
        <w:tc>
          <w:tcPr>
            <w:tcW w:w="10032"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both"/>
              <w:rPr/>
            </w:pPr>
            <w:r>
              <w:rPr/>
              <w:t>5.</w:t>
            </w:r>
          </w:p>
        </w:tc>
        <w:tc>
          <w:tcPr>
            <w:tcW w:w="10029"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17, 2026</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05"/>
        <w:gridCol w:w="2345"/>
        <w:gridCol w:w="75"/>
      </w:tblGrid>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34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Kung Lok Chiu</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Kung Lok Chiu</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Chief Executive Officer </w:t>
              <w:br/>
              <w:t>(Principal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9738501ex12-2.htm"/>
      <w:bookmarkStart w:id="54" w:name="ksea029738501ex122"/>
      <w:bookmarkEnd w:id="53"/>
      <w:bookmarkEnd w:id="54"/>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FINANCIAL OFFICER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shd w:fill="FFFFFF" w:val="clear"/>
        </w:rPr>
        <w:t>Chee Hui Law</w:t>
      </w:r>
      <w:r>
        <w:rPr>
          <w:rFonts w:ascii="Times New Roman;Times;Serif" w:hAnsi="Times New Roman;Times;Serif"/>
          <w:b w:val="false"/>
          <w:i w:val="false"/>
          <w:caps w:val="false"/>
          <w:smallCaps w:val="false"/>
          <w:sz w:val="20"/>
        </w:rPr>
        <w:t>,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1.</w:t>
            </w:r>
          </w:p>
        </w:tc>
        <w:tc>
          <w:tcPr>
            <w:tcW w:w="9999" w:type="dxa"/>
            <w:tcBorders/>
            <w:vAlign w:val="center"/>
          </w:tcPr>
          <w:p>
            <w:pPr>
              <w:pStyle w:val="TableContents"/>
              <w:bidi w:val="0"/>
              <w:spacing w:before="0" w:after="283"/>
              <w:jc w:val="both"/>
              <w:rPr/>
            </w:pPr>
            <w:r>
              <w:rPr/>
              <w:t>I have reviewed this annual report on Form 20-F of CCSC Technology International Holdings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17, 2026</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605"/>
        <w:gridCol w:w="3635"/>
        <w:gridCol w:w="75"/>
      </w:tblGrid>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3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Chee Hui Law</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Chee Hui Law</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3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Chief Financial Officer </w:t>
              <w:br/>
              <w:t>(Principal Accounting and Financial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9738501ex13-1.htm"/>
      <w:bookmarkStart w:id="56" w:name="ksea029738501ex131"/>
      <w:bookmarkEnd w:id="55"/>
      <w:bookmarkEnd w:id="56"/>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EXECUTIVE OFFICER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CCSC Technology International Holdings Limited (the “Company”) on Form 20-F for the year ended March 31, 2026, as filed with the Securities and Exchange Commission on the date hereof (the “Report”), I, Kung Lok Chiu, Chief Executive Officer (Principal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17, 2026</w:t>
      </w:r>
    </w:p>
    <w:p>
      <w:pPr>
        <w:pStyle w:val="TextBody"/>
        <w:bidi w:val="0"/>
        <w:spacing w:before="0" w:after="0"/>
        <w:ind w:left="0" w:right="0" w:hanging="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560"/>
        <w:gridCol w:w="2345"/>
        <w:gridCol w:w="75"/>
      </w:tblGrid>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34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Kung Lok Chiu</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Kung Lok Chiu</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Chief Executive Officer </w:t>
              <w:br/>
              <w:t>(Principal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7" w:name="ea029738501ex13-2.htm"/>
      <w:bookmarkStart w:id="58" w:name="ksea029738501ex132"/>
      <w:bookmarkEnd w:id="57"/>
      <w:bookmarkEnd w:id="58"/>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FINANCIAL OFFICER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Annual Report of CCSC Technology International Holdings Limited (the “Company”) on Form 20-F for the year ended March 31, 2026, as filed with the Securities and Exchange Commission on the date hereof (the “Report”), I, </w:t>
      </w:r>
      <w:r>
        <w:rPr>
          <w:rFonts w:ascii="Times New Roman;Times;Serif" w:hAnsi="Times New Roman;Times;Serif"/>
          <w:b w:val="false"/>
          <w:i w:val="false"/>
          <w:caps w:val="false"/>
          <w:smallCaps w:val="false"/>
          <w:sz w:val="20"/>
          <w:shd w:fill="FFFFFF" w:val="clear"/>
        </w:rPr>
        <w:t>Chee Hui Law</w:t>
      </w:r>
      <w:r>
        <w:rPr>
          <w:rFonts w:ascii="Times New Roman;Times;Serif" w:hAnsi="Times New Roman;Times;Serif"/>
          <w:b w:val="false"/>
          <w:i w:val="false"/>
          <w:caps w:val="false"/>
          <w:smallCaps w:val="false"/>
          <w:sz w:val="20"/>
        </w:rPr>
        <w:t>, Chief Financial Officer (Principal Accounting and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17, 2026</w:t>
      </w:r>
    </w:p>
    <w:p>
      <w:pPr>
        <w:pStyle w:val="TextBody"/>
        <w:bidi w:val="0"/>
        <w:spacing w:before="0" w:after="0"/>
        <w:ind w:left="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560"/>
        <w:gridCol w:w="4250"/>
        <w:gridCol w:w="75"/>
      </w:tblGrid>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25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Chee Hui Law</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Chee Hui Law</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4250" w:type="dxa"/>
            <w:tcBorders/>
            <w:vAlign w:val="center"/>
          </w:tcPr>
          <w:p>
            <w:pPr>
              <w:pStyle w:val="TableContents"/>
              <w:bidi w:val="0"/>
              <w:spacing w:before="0" w:after="283"/>
              <w:jc w:val="both"/>
              <w:rPr/>
            </w:pPr>
            <w:r>
              <w:rPr/>
              <w:t xml:space="preserve">Chief Financial Officer </w:t>
              <w:br/>
              <w:t>(Principal Accounting and Financial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9" w:name="ea029738501ex15-1.htm"/>
      <w:bookmarkStart w:id="60" w:name="ksea029738501ex151"/>
      <w:bookmarkEnd w:id="59"/>
      <w:bookmarkEnd w:id="60"/>
      <w:r>
        <w:rPr>
          <w:b/>
        </w:rPr>
        <w:t>Exhibit 15.1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3009900" cy="466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0"/>
                    <a:stretch>
                      <a:fillRect/>
                    </a:stretch>
                  </pic:blipFill>
                  <pic:spPr bwMode="auto">
                    <a:xfrm>
                      <a:off x="0" y="0"/>
                      <a:ext cx="3009900" cy="466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(FILE NO. 333-284474) and Form S-8 (FILE NO. 333-293230) of our report dated July 22, 2024, with respect to the consolidated financial statements of CCSC Technology International Holdings Limited, before the adjustments to retrospectively apply the change in accounting described in Note 12 and retrospective adjustment related to the share structure change and share consolidation described in Note 14, included in this Annual Report on Form 20-F for the year ended March 31, 2026. We also consent to the reference to us under the heading “Expert”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jc w:val="right"/>
        <w:rPr>
          <w:rFonts w:ascii="Times New Roman;Times;Serif" w:hAnsi="Times New Roman;Times;Serif"/>
          <w:b/>
          <w:i w:val="false"/>
          <w:caps w:val="false"/>
          <w:smallCaps w:val="false"/>
          <w:sz w:val="20"/>
        </w:rPr>
      </w:pPr>
      <w:bookmarkStart w:id="61" w:name="ea029738501ex15-2.htm"/>
      <w:bookmarkStart w:id="62" w:name="ksea029738501ex152"/>
      <w:bookmarkEnd w:id="61"/>
      <w:bookmarkEnd w:id="62"/>
      <w:r>
        <w:rPr>
          <w:rFonts w:ascii="Times New Roman;Times;Serif" w:hAnsi="Times New Roman;Times;Serif"/>
          <w:b/>
          <w:i w:val="false"/>
          <w:caps w:val="false"/>
          <w:smallCaps w:val="false"/>
          <w:sz w:val="20"/>
        </w:rPr>
        <w:t>Exhibit 15.2</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71700" cy="4000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1"/>
                    <a:stretch>
                      <a:fillRect/>
                    </a:stretch>
                  </pic:blipFill>
                  <pic:spPr bwMode="auto">
                    <a:xfrm>
                      <a:off x="0" y="0"/>
                      <a:ext cx="2171700" cy="4000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F-3 (File No: 333-284474) , Form S-8 (File No: 333-293230) and Form S-8 (File No: 333-282653) of CCSC Technology International Holdings Limited (the “Company”) of our report dated on July 17, 2026, relating to the financial statements, which appears in this annual report on Form 20-F of the Company for the year ended March 31,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90750" cy="485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2"/>
                    <a:stretch>
                      <a:fillRect/>
                    </a:stretch>
                  </pic:blipFill>
                  <pic:spPr bwMode="auto">
                    <a:xfrm>
                      <a:off x="0" y="0"/>
                      <a:ext cx="2190750" cy="48577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Enrome LLP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931717/000121390025065153/ea024846801ex1-1_ccsc.htm" TargetMode="External"/><Relationship Id="rId13" Type="http://schemas.openxmlformats.org/officeDocument/2006/relationships/hyperlink" Target="https://www.sec.gov/Archives/edgar/data/1931717/000121390023022057/ff12023ex4-1_ccsctech.htm" TargetMode="External"/><Relationship Id="rId14" Type="http://schemas.openxmlformats.org/officeDocument/2006/relationships/hyperlink" Target="https://www.sec.gov/Archives/edgar/data/1931717/000121390023022057/ff12023ex10-1_ccsctech.htm" TargetMode="External"/><Relationship Id="rId15" Type="http://schemas.openxmlformats.org/officeDocument/2006/relationships/hyperlink" Target="https://www.sec.gov/Archives/edgar/data/1931717/000121390023022057/ff12023ex10-2_ccsctech.htm" TargetMode="External"/><Relationship Id="rId16" Type="http://schemas.openxmlformats.org/officeDocument/2006/relationships/hyperlink" Target="https://www.sec.gov/Archives/edgar/data/1931717/000121390023022057/ff12023ex10-3_ccsctech.htm" TargetMode="External"/><Relationship Id="rId17" Type="http://schemas.openxmlformats.org/officeDocument/2006/relationships/hyperlink" Target="https://www.sec.gov/Archives/edgar/data/1931717/000121390025065153/ea024846801ex4-4_ccsc.htm" TargetMode="External"/><Relationship Id="rId18" Type="http://schemas.openxmlformats.org/officeDocument/2006/relationships/hyperlink" Target="https://www.sec.gov/Archives/edgar/data/1931717/000121390025065153/ea024846801ex4-5_ccsc.htm" TargetMode="External"/><Relationship Id="rId19" Type="http://schemas.openxmlformats.org/officeDocument/2006/relationships/hyperlink" Target="https://www.sec.gov/Archives/edgar/data/1931717/000121390025065153/ea024846801ex4-6_ccsc.htm" TargetMode="External"/><Relationship Id="rId20" Type="http://schemas.openxmlformats.org/officeDocument/2006/relationships/hyperlink" Target="https://www.sec.gov/Archives/edgar/data/1931717/000121390025065153/ea024846801ex4-7_ccsc.htm" TargetMode="External"/><Relationship Id="rId21" Type="http://schemas.openxmlformats.org/officeDocument/2006/relationships/hyperlink" Target="https://www.sec.gov/Archives/edgar/data/1931717/000121390025065153/ea024846801ex4-8_ccsc.htm" TargetMode="External"/><Relationship Id="rId22" Type="http://schemas.openxmlformats.org/officeDocument/2006/relationships/hyperlink" Target="https://www.sec.gov/Archives/edgar/data/1931717/000121390025065153/ea024846801ex4-9_ccsc.htm" TargetMode="External"/><Relationship Id="rId23" Type="http://schemas.openxmlformats.org/officeDocument/2006/relationships/hyperlink" Target="https://www.sec.gov/Archives/edgar/data/1931717/000121390026050948/ea028868201ex10-1.htm" TargetMode="External"/><Relationship Id="rId24" Type="http://schemas.openxmlformats.org/officeDocument/2006/relationships/hyperlink" Target="https://www.sec.gov/Archives/edgar/data/1931717/000121390026020481/ea027836301ex10-1.htm" TargetMode="External"/><Relationship Id="rId25" Type="http://schemas.openxmlformats.org/officeDocument/2006/relationships/hyperlink" Target="https://www.sec.gov/Archives/edgar/data/1931717/000121390023022057/ff12023ex21-1_ccsctech.htm" TargetMode="External"/><Relationship Id="rId26" Type="http://schemas.openxmlformats.org/officeDocument/2006/relationships/hyperlink" Target="https://www.sec.gov/Archives/edgar/data/1931717/000121390023022057/ff12023ex14-1_ccsctech.htm" TargetMode="External"/><Relationship Id="rId27" Type="http://schemas.openxmlformats.org/officeDocument/2006/relationships/hyperlink" Target="https://www.sec.gov/Archives/edgar/data/1931717/000101376224000458/ea020932801ex11-2_ccsctechno.htm" TargetMode="External"/><Relationship Id="rId28" Type="http://schemas.openxmlformats.org/officeDocument/2006/relationships/hyperlink" Target="https://www.sec.gov/Archives/edgar/data/1931717/000101376224000458/ea020932801ex97-1_ccsctechno.htm" TargetMode="External"/><Relationship Id="rId29" Type="http://schemas.openxmlformats.org/officeDocument/2006/relationships/image" Target="media/image11.jpeg"/><Relationship Id="rId30" Type="http://schemas.openxmlformats.org/officeDocument/2006/relationships/image" Target="media/image12.jpeg"/><Relationship Id="rId31" Type="http://schemas.openxmlformats.org/officeDocument/2006/relationships/image" Target="media/image13.jpeg"/><Relationship Id="rId32" Type="http://schemas.openxmlformats.org/officeDocument/2006/relationships/image" Target="media/image14.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122248</Words>
  <Characters>670298</Characters>
  <CharactersWithSpaces>793105</CharactersWithSpaces>
  <Paragraphs>13479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